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3"/>
        <w:framePr w:hSpace="0" w:vSpace="0" w:wrap="auto" w:vAnchor="margin" w:hAnchor="text" w:xAlign="left" w:yAlign="inline"/>
        <w:jc w:val="center"/>
        <w:rPr>
          <w:rFonts w:hint="eastAsia" w:ascii="黑体" w:hAnsi="黑体" w:eastAsia="黑体" w:cs="宋体"/>
          <w:szCs w:val="21"/>
          <w:u w:val="single"/>
        </w:rPr>
      </w:pPr>
      <w:r>
        <w:rPr>
          <w:rFonts w:hint="eastAsia" w:ascii="黑体" w:hAnsi="黑体" w:eastAsia="黑体" w:cs="宋体"/>
          <w:szCs w:val="21"/>
          <w:u w:val="single"/>
        </w:rPr>
        <w:t>附录A</w:t>
      </w:r>
    </w:p>
    <w:p>
      <w:pPr>
        <w:pStyle w:val="13"/>
        <w:framePr w:hSpace="0" w:vSpace="0" w:wrap="auto" w:vAnchor="margin" w:hAnchor="text" w:xAlign="left" w:yAlign="inline"/>
        <w:jc w:val="center"/>
        <w:rPr>
          <w:rFonts w:hint="eastAsia" w:ascii="黑体" w:hAnsi="黑体" w:eastAsia="黑体" w:cs="宋体"/>
          <w:szCs w:val="21"/>
          <w:u w:val="single"/>
        </w:rPr>
      </w:pPr>
      <w:r>
        <w:rPr>
          <w:rFonts w:hint="eastAsia" w:ascii="黑体" w:hAnsi="黑体" w:eastAsia="黑体" w:cs="宋体"/>
          <w:szCs w:val="21"/>
          <w:u w:val="single"/>
        </w:rPr>
        <w:t>（规范性附录）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博爱县临时占用城市绿地审批表</w:t>
      </w:r>
    </w:p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620"/>
        <w:gridCol w:w="360"/>
        <w:gridCol w:w="360"/>
        <w:gridCol w:w="180"/>
        <w:gridCol w:w="180"/>
        <w:gridCol w:w="1080"/>
        <w:gridCol w:w="360"/>
        <w:gridCol w:w="18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申请单位(或个人)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占用地点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    积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 途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需移植苗木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品种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1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占用期限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施工期限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占有绿地补偿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恢复方法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绿地管理单位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临督单位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80" w:hRule="atLeast"/>
        </w:trPr>
        <w:tc>
          <w:tcPr>
            <w:tcW w:w="414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市政管理科意见: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/>
            <w:r>
              <w:rPr>
                <w:rFonts w:hint="eastAsia"/>
              </w:rPr>
              <w:t xml:space="preserve">                 年    有    日</w:t>
            </w:r>
          </w:p>
        </w:tc>
        <w:tc>
          <w:tcPr>
            <w:tcW w:w="5040" w:type="dxa"/>
            <w:gridSpan w:val="7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分管局长意见: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/>
            <w:r>
              <w:rPr>
                <w:rFonts w:hint="eastAsia"/>
              </w:rPr>
              <w:t xml:space="preserve">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180" w:type="dxa"/>
            <w:gridSpan w:val="1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局长意见: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/>
            <w:r>
              <w:rPr>
                <w:rFonts w:hint="eastAsia"/>
              </w:rPr>
              <w:t xml:space="preserve">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180" w:type="dxa"/>
            <w:gridSpan w:val="1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领导审批意见: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/>
            <w:r>
              <w:rPr>
                <w:rFonts w:hint="eastAsia"/>
              </w:rPr>
              <w:t xml:space="preserve">                                                                 年 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说明:1申报单位需有书面申请;并附有关部门批准文件;</w:t>
      </w:r>
    </w:p>
    <w:p>
      <w:pPr>
        <w:rPr>
          <w:rFonts w:hint="eastAsia"/>
        </w:rPr>
      </w:pPr>
      <w:r>
        <w:rPr>
          <w:rFonts w:hint="eastAsia"/>
        </w:rPr>
        <w:t xml:space="preserve">     2此表主管部门、申报单位、绿地单位各一份；</w:t>
      </w:r>
    </w:p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/>
        </w:rPr>
        <w:t xml:space="preserve">     3、绿地恢复应在截止日期15日内完成，否则按规定处理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ind w:left="840" w:hanging="420"/>
      <w:rPr>
        <w:rFonts w:hint="eastAsia"/>
      </w:rPr>
    </w:pPr>
    <w:r>
      <w:rPr>
        <w:rFonts w:hint="eastAsia"/>
      </w:rPr>
      <w:t>ZW</w:t>
    </w:r>
    <w:r>
      <w:t>/</w:t>
    </w:r>
    <w:r>
      <w:rPr>
        <w:rFonts w:hint="eastAsia"/>
      </w:rPr>
      <w:t>BADT TG 302</w:t>
    </w:r>
    <w:r>
      <w:t xml:space="preserve"> </w:t>
    </w:r>
    <w:r>
      <w:rPr>
        <w:rFonts w:hint="eastAsia"/>
      </w:rPr>
      <w:t>CG.07-2015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3270883">
    <w:nsid w:val="1FC91163"/>
    <w:multiLevelType w:val="multilevel"/>
    <w:tmpl w:val="1FC91163"/>
    <w:lvl w:ilvl="0" w:tentative="1">
      <w:start w:val="1"/>
      <w:numFmt w:val="decimal"/>
      <w:pStyle w:val="1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1">
      <w:start w:val="1"/>
      <w:numFmt w:val="decimal"/>
      <w:pStyle w:val="1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1">
      <w:start w:val="1"/>
      <w:numFmt w:val="decimal"/>
      <w:suff w:val="nothing"/>
      <w:lvlText w:val="%1.%2.%3　"/>
      <w:lvlJc w:val="left"/>
      <w:pPr>
        <w:ind w:left="147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702707132">
    <w:nsid w:val="657D3FBC"/>
    <w:multiLevelType w:val="multilevel"/>
    <w:tmpl w:val="657D3FBC"/>
    <w:lvl w:ilvl="0" w:tentative="1">
      <w:start w:val="1"/>
      <w:numFmt w:val="upperLetter"/>
      <w:pStyle w:val="1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702707132"/>
  </w:num>
  <w:num w:numId="2">
    <w:abstractNumId w:val="5332708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31547"/>
    <w:rsid w:val="01582BC2"/>
    <w:rsid w:val="029E5458"/>
    <w:rsid w:val="09031547"/>
    <w:rsid w:val="1A872F16"/>
    <w:rsid w:val="29120F71"/>
    <w:rsid w:val="2C164A61"/>
    <w:rsid w:val="2D265ED7"/>
    <w:rsid w:val="3334290F"/>
    <w:rsid w:val="3D6C4254"/>
    <w:rsid w:val="49202B06"/>
    <w:rsid w:val="53A33245"/>
    <w:rsid w:val="70593DDE"/>
    <w:rsid w:val="73DD49A4"/>
    <w:rsid w:val="76936197"/>
    <w:rsid w:val="7F392B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3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/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  <w:szCs w:val="22"/>
      <w:lang w:val="en-US" w:eastAsia="zh-CN" w:bidi="ar-SA"/>
    </w:rPr>
  </w:style>
  <w:style w:type="paragraph" w:customStyle="1" w:styleId="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 w:afterLines="0"/>
      <w:jc w:val="right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10">
    <w:name w:val="附录标识"/>
    <w:basedOn w:val="1"/>
    <w:next w:val="8"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beforeLines="0" w:after="280" w:afterLines="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">
    <w:name w:val="一级条标题"/>
    <w:next w:val="8"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12">
    <w:name w:val="章标题"/>
    <w:next w:val="8"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eastAsia="黑体"/>
      <w:sz w:val="21"/>
      <w:szCs w:val="22"/>
      <w:lang w:val="en-US" w:eastAsia="zh-CN" w:bidi="ar-SA"/>
    </w:rPr>
  </w:style>
  <w:style w:type="paragraph" w:customStyle="1" w:styleId="13">
    <w:name w:val="终结线"/>
    <w:basedOn w:val="1"/>
    <w:uiPriority w:val="0"/>
    <w:pPr>
      <w:framePr w:hSpace="181" w:vSpace="181" w:wrap="around" w:vAnchor="text" w:hAnchor="margin" w:xAlign="center" w:y="28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2015-12-22T07:32:00Z</dcterms:created>
  <dc:creator>Administrator</dc:creator>
  <cp:lastModifiedBy>Administrator</cp:lastModifiedBy>
  <dcterms:modified xsi:type="dcterms:W3CDTF">2015-12-22T08:07:08Z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