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560" w:lineRule="exact"/>
        <w:rPr>
          <w:rStyle w:val="4"/>
          <w:rFonts w:ascii="Times New Roman" w:hAnsi="Times New Roman" w:eastAsia="黑体"/>
          <w:b w:val="0"/>
          <w:bCs/>
          <w:color w:val="444444"/>
          <w:sz w:val="32"/>
          <w:szCs w:val="32"/>
        </w:rPr>
      </w:pPr>
      <w:r>
        <w:rPr>
          <w:rStyle w:val="4"/>
          <w:rFonts w:ascii="Times New Roman" w:hAnsi="Times New Roman" w:eastAsia="黑体"/>
          <w:b w:val="0"/>
          <w:bCs/>
          <w:color w:val="444444"/>
          <w:sz w:val="32"/>
          <w:szCs w:val="32"/>
        </w:rPr>
        <w:t>附  件</w:t>
      </w:r>
    </w:p>
    <w:p>
      <w:pPr>
        <w:pStyle w:val="2"/>
        <w:widowControl/>
        <w:wordWrap w:val="0"/>
        <w:spacing w:beforeAutospacing="0" w:afterAutospacing="0" w:line="560" w:lineRule="exact"/>
        <w:rPr>
          <w:rStyle w:val="4"/>
          <w:rFonts w:ascii="Times New Roman" w:hAnsi="Times New Roman" w:eastAsia="黑体"/>
          <w:b w:val="0"/>
          <w:bCs/>
          <w:color w:val="444444"/>
          <w:sz w:val="32"/>
          <w:szCs w:val="32"/>
        </w:rPr>
      </w:pPr>
    </w:p>
    <w:p>
      <w:pPr>
        <w:pStyle w:val="2"/>
        <w:widowControl/>
        <w:wordWrap w:val="0"/>
        <w:spacing w:beforeAutospacing="0" w:afterAutospacing="0" w:line="560" w:lineRule="exact"/>
        <w:jc w:val="center"/>
        <w:rPr>
          <w:rStyle w:val="4"/>
          <w:rFonts w:ascii="Times New Roman" w:hAnsi="Times New Roman" w:eastAsia="方正小标宋简体"/>
          <w:b w:val="0"/>
          <w:bCs/>
          <w:color w:val="444444"/>
          <w:sz w:val="44"/>
          <w:szCs w:val="44"/>
        </w:rPr>
      </w:pPr>
      <w:r>
        <w:rPr>
          <w:rStyle w:val="4"/>
          <w:rFonts w:ascii="Times New Roman" w:hAnsi="Times New Roman" w:eastAsia="方正小标宋简体"/>
          <w:b w:val="0"/>
          <w:bCs/>
          <w:color w:val="444444"/>
          <w:sz w:val="44"/>
          <w:szCs w:val="44"/>
        </w:rPr>
        <w:t>博爱县2016年政务公开工作要点台账</w:t>
      </w:r>
    </w:p>
    <w:p>
      <w:pPr>
        <w:pStyle w:val="2"/>
        <w:widowControl/>
        <w:wordWrap w:val="0"/>
        <w:spacing w:beforeAutospacing="0" w:afterAutospacing="0" w:line="560" w:lineRule="exact"/>
        <w:jc w:val="center"/>
        <w:rPr>
          <w:rStyle w:val="4"/>
          <w:rFonts w:ascii="Times New Roman" w:hAnsi="Times New Roman" w:eastAsia="方正小标宋简体"/>
          <w:b w:val="0"/>
          <w:bCs/>
          <w:color w:val="444444"/>
          <w:sz w:val="44"/>
          <w:szCs w:val="44"/>
        </w:rPr>
      </w:pPr>
    </w:p>
    <w:tbl>
      <w:tblPr>
        <w:tblStyle w:val="5"/>
        <w:tblW w:w="9465" w:type="dxa"/>
        <w:tblInd w:w="-154" w:type="dxa"/>
        <w:tblLayout w:type="fixed"/>
        <w:tblCellMar>
          <w:top w:w="0" w:type="dxa"/>
          <w:left w:w="108" w:type="dxa"/>
          <w:bottom w:w="0" w:type="dxa"/>
          <w:right w:w="108" w:type="dxa"/>
        </w:tblCellMar>
      </w:tblPr>
      <w:tblGrid>
        <w:gridCol w:w="735"/>
        <w:gridCol w:w="4350"/>
        <w:gridCol w:w="2295"/>
        <w:gridCol w:w="2085"/>
      </w:tblGrid>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pacing w:val="-20"/>
                <w:sz w:val="28"/>
                <w:szCs w:val="28"/>
              </w:rPr>
              <w:t>序号</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工作要点</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责任</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完成时限</w:t>
            </w:r>
          </w:p>
        </w:tc>
      </w:tr>
      <w:tr>
        <w:tblPrEx>
          <w:tblLayout w:type="fixed"/>
          <w:tblCellMar>
            <w:top w:w="0" w:type="dxa"/>
            <w:left w:w="108" w:type="dxa"/>
            <w:bottom w:w="0" w:type="dxa"/>
            <w:right w:w="108" w:type="dxa"/>
          </w:tblCellMar>
        </w:tblPrEx>
        <w:trPr>
          <w:trHeight w:val="76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协调落实县级政务公开工作职责调整</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县编办</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6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进一步推进权力清单和责任清单公开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县编办</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做好省市政府部门取消、下放、保留、承接行政审批、执业资格等事项的公开工作</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县编办</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县人力资源社会保障局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196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4</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推进保障性住房、产品质量、旅游市场、知识产权、安全生产等方面的监管执法信息公开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县房管中心</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县质监局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县旅游局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县科技工信委</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县安全监管局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5</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加快推进全市企业信用信息公示</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县工商局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6</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推进行政许可和行政处罚信用信息公示工作</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县发展改革委</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7</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推进政府投资的重大建设项目信息公开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县发展改革委</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8</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推动政务服务事项办理由实体政务大厅向网上办事大厅延伸</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县行政服务中心</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9</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清理修订涉及政务公开的规范性文件</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县政府办公室</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4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pacing w:val="-20"/>
                <w:sz w:val="28"/>
                <w:szCs w:val="28"/>
              </w:rPr>
              <w:t>序号</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工作要点</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责任</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完成时限</w:t>
            </w:r>
          </w:p>
        </w:tc>
      </w:tr>
      <w:tr>
        <w:tblPrEx>
          <w:tblLayout w:type="fixed"/>
        </w:tblPrEx>
        <w:trPr>
          <w:trHeight w:val="132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10</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进一步做好政务公开相关规范性文件和政策性文件清理结果公开工作</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县政府法制办</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11</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推进面向转移落户人员的服务公开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县公安局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12</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推动政府和社会资本合作（PPP）项目的信息公开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县发展改革委</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县财政局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13</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推进公共资源配置领域信息公开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pacing w:val="-20"/>
                <w:sz w:val="28"/>
                <w:szCs w:val="28"/>
              </w:rPr>
              <w:t>县公共资源交易中心</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9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14</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推进减税降费信息公开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县财政局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县国税局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县地税局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106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15</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实行收费目录清单管理</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县发展改革委</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县财政局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PrEx>
        <w:trPr>
          <w:trHeight w:val="524"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16</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推进国有企业运营监管信息公开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县财政局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县国资办</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73"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17</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推进扶贫工作信息公开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县农业局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县扶贫办</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68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18</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推进社会救助信息公开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县民政局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948"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19</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落实全县政务公开工作人员轮训年度工作任务</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县人力资源社会保障局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98"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推进就业创业信息公开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县人力资源社会保障局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907"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21</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推进棚户区改造、农村危房改造和保障性住房信息公开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pacing w:val="-20"/>
                <w:sz w:val="28"/>
                <w:szCs w:val="28"/>
              </w:rPr>
              <w:t>县住房城乡建设局</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县房管中心</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pacing w:val="-20"/>
                <w:sz w:val="28"/>
                <w:szCs w:val="28"/>
              </w:rPr>
              <w:t>序号</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工作要点</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责任</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完成时限</w:t>
            </w:r>
          </w:p>
        </w:tc>
      </w:tr>
      <w:tr>
        <w:tblPrEx>
          <w:tblLayout w:type="fixed"/>
          <w:tblCellMar>
            <w:top w:w="0" w:type="dxa"/>
            <w:left w:w="108" w:type="dxa"/>
            <w:bottom w:w="0" w:type="dxa"/>
            <w:right w:w="108" w:type="dxa"/>
          </w:tblCellMar>
        </w:tblPrEx>
        <w:trPr>
          <w:trHeight w:val="85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22</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推进环境保护信息公开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县环保局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3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23</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推进教育信息公开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县教育局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63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24</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推进医疗卫生信息公开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县卫生计生委</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0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25</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推进食品药品安全信息公开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pacing w:val="-20"/>
                <w:sz w:val="28"/>
                <w:szCs w:val="28"/>
              </w:rPr>
              <w:t>县食品药品监管局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4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26</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深化审计结果公告及整改情况公开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县审计局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PrEx>
        <w:trPr>
          <w:trHeight w:val="62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27</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深入推进预决算公开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县财政局</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65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28</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推进公共企事业单位办事服务公开</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pacing w:val="-20"/>
                <w:sz w:val="28"/>
                <w:szCs w:val="28"/>
              </w:rPr>
              <w:t>相关行业主管部门</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132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29</w:t>
            </w:r>
          </w:p>
        </w:tc>
        <w:tc>
          <w:tcPr>
            <w:tcW w:w="4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pacing w:val="-10"/>
                <w:sz w:val="28"/>
                <w:szCs w:val="28"/>
              </w:rPr>
              <w:t>加强领导，理顺政务公开工作机制，落实政务公开工作职责，建立健全政务公开工作机构和工作队伍</w:t>
            </w:r>
          </w:p>
        </w:tc>
        <w:tc>
          <w:tcPr>
            <w:tcW w:w="2295"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p>
          <w:p>
            <w:pPr>
              <w:widowControl/>
              <w:spacing w:line="400" w:lineRule="exact"/>
              <w:jc w:val="center"/>
              <w:rPr>
                <w:rFonts w:ascii="仿宋_GB2312" w:hAnsi="仿宋_GB2312" w:eastAsia="仿宋_GB2312" w:cs="仿宋_GB2312"/>
                <w:color w:val="444444"/>
                <w:sz w:val="28"/>
                <w:szCs w:val="28"/>
              </w:rPr>
            </w:pP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各乡镇（街道）、县政府各部门</w:t>
            </w:r>
          </w:p>
          <w:p>
            <w:pPr>
              <w:widowControl/>
              <w:spacing w:line="400" w:lineRule="exact"/>
              <w:rPr>
                <w:rFonts w:ascii="仿宋_GB2312" w:hAnsi="仿宋_GB2312" w:eastAsia="仿宋_GB2312" w:cs="仿宋_GB2312"/>
                <w:sz w:val="28"/>
                <w:szCs w:val="28"/>
              </w:rPr>
            </w:pPr>
          </w:p>
        </w:tc>
        <w:tc>
          <w:tcPr>
            <w:tcW w:w="2085"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p>
          <w:p>
            <w:pPr>
              <w:widowControl/>
              <w:spacing w:line="400" w:lineRule="exact"/>
              <w:rPr>
                <w:rFonts w:ascii="仿宋_GB2312" w:hAnsi="仿宋_GB2312" w:eastAsia="仿宋_GB2312" w:cs="仿宋_GB2312"/>
                <w:color w:val="444444"/>
                <w:sz w:val="28"/>
                <w:szCs w:val="28"/>
              </w:rPr>
            </w:pPr>
          </w:p>
          <w:p>
            <w:pPr>
              <w:widowControl/>
              <w:spacing w:line="400" w:lineRule="exact"/>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2016年12月底</w:t>
            </w:r>
          </w:p>
          <w:p>
            <w:pPr>
              <w:widowControl/>
              <w:spacing w:line="400" w:lineRule="exact"/>
              <w:rPr>
                <w:rFonts w:ascii="仿宋_GB2312" w:hAnsi="仿宋_GB2312" w:eastAsia="仿宋_GB2312" w:cs="仿宋_GB2312"/>
                <w:color w:val="444444"/>
                <w:sz w:val="28"/>
                <w:szCs w:val="28"/>
              </w:rPr>
            </w:pPr>
          </w:p>
        </w:tc>
      </w:tr>
      <w:tr>
        <w:tblPrEx>
          <w:tblLayout w:type="fixed"/>
          <w:tblCellMar>
            <w:top w:w="0" w:type="dxa"/>
            <w:left w:w="108" w:type="dxa"/>
            <w:bottom w:w="0" w:type="dxa"/>
            <w:right w:w="108" w:type="dxa"/>
          </w:tblCellMar>
        </w:tblPrEx>
        <w:trPr>
          <w:trHeight w:val="81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30</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进一步加强政府门户网站建设和管理</w:t>
            </w:r>
          </w:p>
        </w:tc>
        <w:tc>
          <w:tcPr>
            <w:tcW w:w="229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c>
          <w:tcPr>
            <w:tcW w:w="208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r>
      <w:tr>
        <w:tblPrEx>
          <w:tblLayout w:type="fixed"/>
          <w:tblCellMar>
            <w:top w:w="0" w:type="dxa"/>
            <w:left w:w="108" w:type="dxa"/>
            <w:bottom w:w="0" w:type="dxa"/>
            <w:right w:w="108" w:type="dxa"/>
          </w:tblCellMar>
        </w:tblPrEx>
        <w:trPr>
          <w:trHeight w:val="66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31</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积极推进本辖区、本部门决策公开</w:t>
            </w:r>
          </w:p>
        </w:tc>
        <w:tc>
          <w:tcPr>
            <w:tcW w:w="229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c>
          <w:tcPr>
            <w:tcW w:w="208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r>
      <w:tr>
        <w:tblPrEx>
          <w:tblLayout w:type="fixed"/>
          <w:tblCellMar>
            <w:top w:w="0" w:type="dxa"/>
            <w:left w:w="108" w:type="dxa"/>
            <w:bottom w:w="0" w:type="dxa"/>
            <w:right w:w="108" w:type="dxa"/>
          </w:tblCellMar>
        </w:tblPrEx>
        <w:trPr>
          <w:trHeight w:val="715"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32</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pacing w:val="-20"/>
                <w:sz w:val="28"/>
                <w:szCs w:val="28"/>
              </w:rPr>
              <w:t>推进本辖区、本部门政策执行和落实情况公开</w:t>
            </w:r>
          </w:p>
        </w:tc>
        <w:tc>
          <w:tcPr>
            <w:tcW w:w="2295" w:type="dxa"/>
            <w:vMerge w:val="continue"/>
            <w:tcBorders>
              <w:top w:val="nil"/>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c>
          <w:tcPr>
            <w:tcW w:w="2085" w:type="dxa"/>
            <w:vMerge w:val="continue"/>
            <w:tcBorders>
              <w:top w:val="nil"/>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r>
      <w:tr>
        <w:tblPrEx>
          <w:tblLayout w:type="fixed"/>
        </w:tblPrEx>
        <w:trPr>
          <w:trHeight w:val="70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33</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主动做好本辖区、本部门政策解读工作</w:t>
            </w:r>
          </w:p>
        </w:tc>
        <w:tc>
          <w:tcPr>
            <w:tcW w:w="229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c>
          <w:tcPr>
            <w:tcW w:w="208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r>
      <w:tr>
        <w:tblPrEx>
          <w:tblLayout w:type="fixed"/>
          <w:tblCellMar>
            <w:top w:w="0" w:type="dxa"/>
            <w:left w:w="108" w:type="dxa"/>
            <w:bottom w:w="0" w:type="dxa"/>
            <w:right w:w="108" w:type="dxa"/>
          </w:tblCellMar>
        </w:tblPrEx>
        <w:trPr>
          <w:trHeight w:val="76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34</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积极主动做好本辖区、本部门政务舆情监测工作，及时回应社会关切</w:t>
            </w:r>
          </w:p>
        </w:tc>
        <w:tc>
          <w:tcPr>
            <w:tcW w:w="2295" w:type="dxa"/>
            <w:vMerge w:val="restart"/>
            <w:tcBorders>
              <w:top w:val="single" w:color="auto" w:sz="4" w:space="0"/>
              <w:left w:val="nil"/>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各乡镇（街道）、县政府各部门</w:t>
            </w:r>
          </w:p>
        </w:tc>
        <w:tc>
          <w:tcPr>
            <w:tcW w:w="2085" w:type="dxa"/>
            <w:vMerge w:val="restart"/>
            <w:tcBorders>
              <w:top w:val="single" w:color="auto" w:sz="4" w:space="0"/>
              <w:left w:val="nil"/>
              <w:right w:val="single" w:color="auto" w:sz="4" w:space="0"/>
            </w:tcBorders>
            <w:shd w:val="clear" w:color="auto" w:fill="auto"/>
            <w:vAlign w:val="center"/>
          </w:tcPr>
          <w:p>
            <w:pPr>
              <w:widowControl/>
              <w:spacing w:line="400" w:lineRule="exact"/>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859"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35</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更好发挥媒体作用</w:t>
            </w:r>
          </w:p>
        </w:tc>
        <w:tc>
          <w:tcPr>
            <w:tcW w:w="2295" w:type="dxa"/>
            <w:vMerge w:val="continue"/>
            <w:tcBorders>
              <w:top w:val="nil"/>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p>
        </w:tc>
        <w:tc>
          <w:tcPr>
            <w:tcW w:w="2085" w:type="dxa"/>
            <w:vMerge w:val="continue"/>
            <w:tcBorders>
              <w:top w:val="nil"/>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p>
        </w:tc>
      </w:tr>
      <w:tr>
        <w:tblPrEx>
          <w:tblLayout w:type="fixed"/>
          <w:tblCellMar>
            <w:top w:w="0" w:type="dxa"/>
            <w:left w:w="108" w:type="dxa"/>
            <w:bottom w:w="0" w:type="dxa"/>
            <w:right w:w="108" w:type="dxa"/>
          </w:tblCellMar>
        </w:tblPrEx>
        <w:trPr>
          <w:trHeight w:val="79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pacing w:val="-20"/>
                <w:sz w:val="28"/>
                <w:szCs w:val="28"/>
              </w:rPr>
              <w:t>序号</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工作要点</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责任</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仿宋_GB2312"/>
                <w:b/>
                <w:bCs/>
                <w:sz w:val="28"/>
                <w:szCs w:val="28"/>
              </w:rPr>
            </w:pPr>
            <w:r>
              <w:rPr>
                <w:rFonts w:hint="eastAsia" w:ascii="黑体" w:hAnsi="黑体" w:eastAsia="黑体" w:cs="仿宋_GB2312"/>
                <w:b/>
                <w:bCs/>
                <w:color w:val="444444"/>
                <w:sz w:val="28"/>
                <w:szCs w:val="28"/>
              </w:rPr>
              <w:t>完成时限</w:t>
            </w:r>
          </w:p>
        </w:tc>
      </w:tr>
      <w:tr>
        <w:tblPrEx>
          <w:tblLayout w:type="fixed"/>
          <w:tblCellMar>
            <w:top w:w="0" w:type="dxa"/>
            <w:left w:w="108" w:type="dxa"/>
            <w:bottom w:w="0" w:type="dxa"/>
            <w:right w:w="108" w:type="dxa"/>
          </w:tblCellMar>
        </w:tblPrEx>
        <w:trPr>
          <w:trHeight w:val="79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36</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 xml:space="preserve">提高政务公开工作制度化、标准化水平  </w:t>
            </w:r>
          </w:p>
        </w:tc>
        <w:tc>
          <w:tcPr>
            <w:tcW w:w="2295" w:type="dxa"/>
            <w:vMerge w:val="restar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各乡镇（街道）、县政府各部门</w:t>
            </w:r>
          </w:p>
        </w:tc>
        <w:tc>
          <w:tcPr>
            <w:tcW w:w="2085" w:type="dxa"/>
            <w:vMerge w:val="restart"/>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r>
              <w:rPr>
                <w:rFonts w:hint="eastAsia" w:ascii="仿宋_GB2312" w:hAnsi="仿宋_GB2312" w:eastAsia="仿宋_GB2312" w:cs="仿宋_GB2312"/>
                <w:color w:val="444444"/>
                <w:sz w:val="28"/>
                <w:szCs w:val="28"/>
              </w:rPr>
              <w:t>2016年12月底</w:t>
            </w:r>
          </w:p>
        </w:tc>
      </w:tr>
      <w:tr>
        <w:tblPrEx>
          <w:tblLayout w:type="fixed"/>
          <w:tblCellMar>
            <w:top w:w="0" w:type="dxa"/>
            <w:left w:w="108" w:type="dxa"/>
            <w:bottom w:w="0" w:type="dxa"/>
            <w:right w:w="108" w:type="dxa"/>
          </w:tblCellMar>
        </w:tblPrEx>
        <w:trPr>
          <w:trHeight w:val="758"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37</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提高政务公开工作信息化、集中化水平</w:t>
            </w:r>
          </w:p>
        </w:tc>
        <w:tc>
          <w:tcPr>
            <w:tcW w:w="229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p>
        </w:tc>
        <w:tc>
          <w:tcPr>
            <w:tcW w:w="208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p>
        </w:tc>
      </w:tr>
      <w:tr>
        <w:tblPrEx>
          <w:tblLayout w:type="fixed"/>
        </w:tblPrEx>
        <w:trPr>
          <w:trHeight w:val="800"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38</w:t>
            </w:r>
          </w:p>
        </w:tc>
        <w:tc>
          <w:tcPr>
            <w:tcW w:w="43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444444"/>
                <w:sz w:val="28"/>
                <w:szCs w:val="28"/>
              </w:rPr>
              <w:t>提高政务公开队伍专业化、理论化水平</w:t>
            </w:r>
          </w:p>
        </w:tc>
        <w:tc>
          <w:tcPr>
            <w:tcW w:w="229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p>
        </w:tc>
        <w:tc>
          <w:tcPr>
            <w:tcW w:w="2085" w:type="dxa"/>
            <w:vMerge w:val="continue"/>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仿宋_GB2312" w:hAnsi="仿宋_GB2312" w:eastAsia="仿宋_GB2312" w:cs="仿宋_GB2312"/>
                <w:color w:val="444444"/>
                <w:sz w:val="28"/>
                <w:szCs w:val="28"/>
              </w:rPr>
            </w:pPr>
          </w:p>
        </w:tc>
      </w:tr>
    </w:tbl>
    <w:p>
      <w:pPr>
        <w:tabs>
          <w:tab w:val="left" w:pos="848"/>
        </w:tabs>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MV Boli"/>
    <w:panose1 w:val="00000000000000000000"/>
    <w:charset w:val="00"/>
    <w:family w:val="swiss"/>
    <w:pitch w:val="default"/>
    <w:sig w:usb0="00000000" w:usb1="00000000" w:usb2="00000000" w:usb3="00000000" w:csb0="2000019F" w:csb1="00000000"/>
  </w:font>
  <w:font w:name="MV Boli">
    <w:panose1 w:val="02000500030200090000"/>
    <w:charset w:val="00"/>
    <w:family w:val="auto"/>
    <w:pitch w:val="default"/>
    <w:sig w:usb0="00000000" w:usb1="00000000" w:usb2="000001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0C2"/>
    <w:rsid w:val="4AE340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2016-07-06T04:02:00Z</dcterms:created>
  <dc:creator>Administrator</dc:creator>
  <cp:lastModifiedBy>Administrator</cp:lastModifiedBy>
  <dcterms:modified xsi:type="dcterms:W3CDTF">2016-07-06T04:02:40Z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