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宋体"/>
          <w:color w:val="000000"/>
          <w:kern w:val="0"/>
          <w:sz w:val="28"/>
          <w:szCs w:val="28"/>
        </w:rPr>
      </w:pPr>
    </w:p>
    <w:p>
      <w:pPr>
        <w:widowControl/>
        <w:jc w:val="left"/>
        <w:rPr>
          <w:rFonts w:ascii="Times New Roman" w:hAnsi="Times New Roman" w:eastAsia="黑体" w:cs="宋体"/>
          <w:color w:val="000000"/>
          <w:kern w:val="0"/>
          <w:sz w:val="28"/>
          <w:szCs w:val="28"/>
        </w:rPr>
      </w:pPr>
    </w:p>
    <w:p>
      <w:pPr>
        <w:widowControl/>
        <w:jc w:val="left"/>
        <w:rPr>
          <w:rFonts w:ascii="Times New Roman" w:hAnsi="Times New Roman" w:eastAsia="黑体" w:cs="宋体"/>
          <w:color w:val="000000"/>
          <w:kern w:val="0"/>
          <w:sz w:val="28"/>
          <w:szCs w:val="28"/>
        </w:rPr>
      </w:pPr>
    </w:p>
    <w:p>
      <w:pPr>
        <w:widowControl/>
        <w:jc w:val="left"/>
        <w:rPr>
          <w:rFonts w:ascii="Times New Roman" w:hAnsi="Times New Roman" w:eastAsia="黑体" w:cs="宋体"/>
          <w:color w:val="000000"/>
          <w:kern w:val="0"/>
          <w:sz w:val="28"/>
          <w:szCs w:val="28"/>
        </w:rPr>
      </w:pPr>
    </w:p>
    <w:p>
      <w:pPr>
        <w:widowControl/>
        <w:jc w:val="left"/>
        <w:rPr>
          <w:rFonts w:ascii="Times New Roman" w:hAnsi="Times New Roman" w:eastAsia="黑体" w:cs="宋体"/>
          <w:color w:val="000000"/>
          <w:kern w:val="0"/>
          <w:sz w:val="28"/>
          <w:szCs w:val="28"/>
        </w:rPr>
      </w:pPr>
    </w:p>
    <w:p>
      <w:pPr>
        <w:overflowPunct w:val="0"/>
        <w:adjustRightInd w:val="0"/>
        <w:snapToGrid w:val="0"/>
        <w:spacing w:line="240" w:lineRule="exact"/>
        <w:jc w:val="left"/>
        <w:rPr>
          <w:rFonts w:ascii="Times New Roman" w:hAnsi="Times New Roman" w:eastAsia="黑体" w:cs="宋体"/>
          <w:color w:val="000000"/>
          <w:kern w:val="0"/>
          <w:sz w:val="28"/>
          <w:szCs w:val="28"/>
        </w:rPr>
      </w:pPr>
    </w:p>
    <w:p>
      <w:pPr>
        <w:jc w:val="center"/>
        <w:rPr>
          <w:rFonts w:ascii="Times New Roman" w:hAnsi="Times New Roman" w:eastAsia="黑体"/>
          <w:color w:val="000000"/>
          <w:sz w:val="52"/>
          <w:szCs w:val="52"/>
        </w:rPr>
      </w:pPr>
      <w:r>
        <w:rPr>
          <w:rFonts w:hint="eastAsia" w:ascii="Times New Roman" w:hAnsi="Times New Roman" w:eastAsia="黑体"/>
          <w:color w:val="000000"/>
          <w:sz w:val="52"/>
          <w:szCs w:val="52"/>
        </w:rPr>
        <w:t>博爱县园林绿化中心</w:t>
      </w:r>
    </w:p>
    <w:p>
      <w:pPr>
        <w:jc w:val="center"/>
        <w:rPr>
          <w:rFonts w:ascii="Times New Roman" w:hAnsi="Times New Roman" w:eastAsia="黑体"/>
          <w:color w:val="000000"/>
          <w:sz w:val="52"/>
          <w:szCs w:val="52"/>
        </w:rPr>
      </w:pPr>
      <w:r>
        <w:rPr>
          <w:rFonts w:hint="eastAsia" w:ascii="Times New Roman" w:hAnsi="Times New Roman" w:eastAsia="黑体"/>
          <w:color w:val="000000"/>
          <w:sz w:val="52"/>
          <w:szCs w:val="52"/>
        </w:rPr>
        <w:t>2022年度</w:t>
      </w:r>
      <w:r>
        <w:rPr>
          <w:rFonts w:hint="eastAsia" w:ascii="Times New Roman" w:hAnsi="Times New Roman" w:eastAsia="黑体"/>
          <w:color w:val="000000"/>
          <w:sz w:val="52"/>
          <w:szCs w:val="52"/>
          <w:lang w:eastAsia="zh-CN"/>
        </w:rPr>
        <w:t>单位</w:t>
      </w:r>
      <w:r>
        <w:rPr>
          <w:rFonts w:hint="eastAsia" w:ascii="Times New Roman" w:hAnsi="Times New Roman" w:eastAsia="黑体"/>
          <w:color w:val="000000"/>
          <w:sz w:val="52"/>
          <w:szCs w:val="52"/>
        </w:rPr>
        <w:t>预算</w:t>
      </w:r>
    </w:p>
    <w:p>
      <w:pPr>
        <w:jc w:val="center"/>
        <w:rPr>
          <w:rFonts w:ascii="Times New Roman" w:hAnsi="Times New Roman" w:eastAsia="黑体"/>
          <w:color w:val="000000"/>
          <w:sz w:val="52"/>
          <w:szCs w:val="52"/>
        </w:rPr>
      </w:pPr>
    </w:p>
    <w:p>
      <w:pPr>
        <w:jc w:val="center"/>
        <w:rPr>
          <w:rFonts w:ascii="Times New Roman" w:hAnsi="Times New Roman" w:eastAsia="黑体"/>
          <w:color w:val="000000"/>
          <w:sz w:val="52"/>
          <w:szCs w:val="52"/>
        </w:rPr>
      </w:pPr>
    </w:p>
    <w:p>
      <w:pPr>
        <w:jc w:val="center"/>
        <w:rPr>
          <w:rFonts w:ascii="Times New Roman" w:hAnsi="Times New Roman" w:eastAsia="黑体"/>
          <w:color w:val="000000"/>
          <w:sz w:val="52"/>
          <w:szCs w:val="52"/>
        </w:rPr>
      </w:pPr>
    </w:p>
    <w:p>
      <w:pPr>
        <w:jc w:val="center"/>
        <w:rPr>
          <w:rFonts w:ascii="Times New Roman" w:hAnsi="Times New Roman" w:eastAsia="黑体"/>
          <w:color w:val="000000"/>
          <w:sz w:val="52"/>
          <w:szCs w:val="52"/>
        </w:rPr>
      </w:pPr>
    </w:p>
    <w:p>
      <w:pPr>
        <w:jc w:val="center"/>
        <w:rPr>
          <w:rFonts w:ascii="Times New Roman" w:hAnsi="Times New Roman" w:eastAsia="黑体"/>
          <w:color w:val="000000"/>
          <w:sz w:val="52"/>
          <w:szCs w:val="52"/>
        </w:rPr>
      </w:pPr>
    </w:p>
    <w:p>
      <w:pPr>
        <w:jc w:val="center"/>
        <w:rPr>
          <w:rFonts w:ascii="Times New Roman" w:hAnsi="Times New Roman" w:eastAsia="黑体"/>
          <w:color w:val="000000"/>
          <w:sz w:val="52"/>
          <w:szCs w:val="52"/>
        </w:rPr>
      </w:pPr>
    </w:p>
    <w:p>
      <w:pPr>
        <w:jc w:val="center"/>
        <w:rPr>
          <w:rFonts w:ascii="Times New Roman" w:hAnsi="Times New Roman" w:eastAsia="黑体"/>
          <w:color w:val="000000"/>
          <w:sz w:val="52"/>
          <w:szCs w:val="52"/>
        </w:rPr>
      </w:pPr>
    </w:p>
    <w:p>
      <w:pPr>
        <w:jc w:val="center"/>
        <w:rPr>
          <w:rFonts w:ascii="Times New Roman" w:hAnsi="Times New Roman" w:eastAsia="黑体"/>
          <w:color w:val="000000"/>
          <w:sz w:val="52"/>
          <w:szCs w:val="52"/>
        </w:rPr>
      </w:pPr>
    </w:p>
    <w:p>
      <w:pPr>
        <w:adjustRightInd w:val="0"/>
        <w:snapToGrid w:val="0"/>
        <w:spacing w:line="360" w:lineRule="auto"/>
        <w:jc w:val="center"/>
        <w:rPr>
          <w:rFonts w:ascii="Times New Roman" w:hAnsi="Times New Roman" w:eastAsia="黑体" w:cs="方正小标宋简体"/>
          <w:color w:val="000000"/>
          <w:sz w:val="44"/>
          <w:szCs w:val="44"/>
        </w:rPr>
      </w:pPr>
      <w:r>
        <w:rPr>
          <w:rFonts w:hint="eastAsia" w:ascii="Times New Roman" w:hAnsi="Times New Roman" w:eastAsia="黑体" w:cs="方正小标宋简体"/>
          <w:color w:val="000000"/>
          <w:sz w:val="32"/>
          <w:szCs w:val="32"/>
        </w:rPr>
        <w:t>二○二二年六月</w:t>
      </w:r>
    </w:p>
    <w:p>
      <w:pPr>
        <w:overflowPunct w:val="0"/>
        <w:adjustRightInd w:val="0"/>
        <w:snapToGrid w:val="0"/>
        <w:spacing w:line="550" w:lineRule="exact"/>
        <w:ind w:left="-142" w:right="51" w:firstLine="30" w:firstLineChars="7"/>
        <w:jc w:val="center"/>
        <w:rPr>
          <w:rFonts w:ascii="Times New Roman" w:hAnsi="Times New Roman" w:eastAsia="方正小标宋简体" w:cs="仿宋_GB2312"/>
          <w:color w:val="000000"/>
          <w:sz w:val="44"/>
          <w:szCs w:val="44"/>
        </w:rPr>
      </w:pPr>
      <w:r>
        <w:rPr>
          <w:rFonts w:hint="eastAsia" w:ascii="Times New Roman" w:hAnsi="Times New Roman" w:eastAsia="方正小标宋简体" w:cs="仿宋_GB2312"/>
          <w:color w:val="000000"/>
          <w:sz w:val="44"/>
          <w:szCs w:val="44"/>
        </w:rPr>
        <w:br w:type="page"/>
      </w:r>
      <w:r>
        <w:rPr>
          <w:rFonts w:hint="eastAsia" w:ascii="Times New Roman" w:hAnsi="Times New Roman" w:eastAsia="方正小标宋简体" w:cs="仿宋_GB2312"/>
          <w:color w:val="000000"/>
          <w:sz w:val="44"/>
          <w:szCs w:val="44"/>
        </w:rPr>
        <w:t xml:space="preserve">目 </w:t>
      </w:r>
      <w:r>
        <w:rPr>
          <w:rFonts w:hint="eastAsia" w:ascii="Times New Roman" w:hAnsi="Times New Roman" w:eastAsia="方正小标宋简体" w:cs="仿宋_GB2312"/>
          <w:color w:val="000000"/>
          <w:spacing w:val="2"/>
          <w:sz w:val="44"/>
          <w:szCs w:val="44"/>
        </w:rPr>
        <w:t xml:space="preserve"> </w:t>
      </w:r>
      <w:r>
        <w:rPr>
          <w:rFonts w:hint="eastAsia" w:ascii="Times New Roman" w:hAnsi="Times New Roman" w:eastAsia="方正小标宋简体" w:cs="仿宋_GB2312"/>
          <w:color w:val="000000"/>
          <w:sz w:val="44"/>
          <w:szCs w:val="44"/>
        </w:rPr>
        <w:t>录</w:t>
      </w:r>
    </w:p>
    <w:p>
      <w:pPr>
        <w:overflowPunct w:val="0"/>
        <w:adjustRightInd w:val="0"/>
        <w:snapToGrid w:val="0"/>
        <w:spacing w:line="550" w:lineRule="exact"/>
        <w:ind w:right="3569" w:firstLine="643" w:firstLineChars="200"/>
        <w:rPr>
          <w:rFonts w:ascii="Times New Roman" w:hAnsi="Times New Roman" w:eastAsia="仿宋_GB2312" w:cs="仿宋_GB2312"/>
          <w:b/>
          <w:bCs/>
          <w:color w:val="000000"/>
          <w:sz w:val="32"/>
          <w:szCs w:val="32"/>
        </w:rPr>
      </w:pPr>
    </w:p>
    <w:p>
      <w:pPr>
        <w:keepNext w:val="0"/>
        <w:keepLines w:val="0"/>
        <w:pageBreakBefore w:val="0"/>
        <w:widowControl w:val="0"/>
        <w:kinsoku/>
        <w:wordWrap/>
        <w:overflowPunct w:val="0"/>
        <w:topLinePunct w:val="0"/>
        <w:autoSpaceDE/>
        <w:autoSpaceDN/>
        <w:bidi w:val="0"/>
        <w:adjustRightInd w:val="0"/>
        <w:snapToGrid w:val="0"/>
        <w:spacing w:line="550" w:lineRule="exact"/>
        <w:ind w:right="3569" w:firstLine="643" w:firstLineChars="200"/>
        <w:textAlignment w:val="auto"/>
        <w:rPr>
          <w:rFonts w:hint="eastAsia" w:ascii="Times New Roman" w:hAnsi="Times New Roman" w:eastAsia="仿宋_GB2312" w:cs="仿宋_GB2312"/>
          <w:w w:val="99"/>
          <w:sz w:val="32"/>
          <w:szCs w:val="32"/>
        </w:rPr>
      </w:pPr>
      <w:r>
        <w:rPr>
          <w:rFonts w:hint="eastAsia" w:ascii="Times New Roman" w:hAnsi="Times New Roman" w:eastAsia="仿宋_GB2312" w:cs="仿宋_GB2312"/>
          <w:b/>
          <w:bCs/>
          <w:sz w:val="32"/>
          <w:szCs w:val="32"/>
        </w:rPr>
        <w:t>第一部分  概况</w:t>
      </w:r>
      <w:r>
        <w:rPr>
          <w:rFonts w:hint="eastAsia" w:ascii="Times New Roman" w:hAnsi="Times New Roman" w:eastAsia="仿宋_GB2312" w:cs="仿宋_GB2312"/>
          <w:w w:val="99"/>
          <w:sz w:val="32"/>
          <w:szCs w:val="32"/>
        </w:rPr>
        <w:t xml:space="preserve"> </w:t>
      </w:r>
    </w:p>
    <w:p>
      <w:pPr>
        <w:keepNext w:val="0"/>
        <w:keepLines w:val="0"/>
        <w:pageBreakBefore w:val="0"/>
        <w:widowControl w:val="0"/>
        <w:kinsoku/>
        <w:wordWrap/>
        <w:overflowPunct w:val="0"/>
        <w:topLinePunct w:val="0"/>
        <w:autoSpaceDE/>
        <w:autoSpaceDN/>
        <w:bidi w:val="0"/>
        <w:adjustRightInd w:val="0"/>
        <w:snapToGrid w:val="0"/>
        <w:spacing w:line="550" w:lineRule="exact"/>
        <w:ind w:right="3569" w:firstLine="960" w:firstLineChars="3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一、主要职能</w:t>
      </w:r>
    </w:p>
    <w:p>
      <w:pPr>
        <w:keepNext w:val="0"/>
        <w:keepLines w:val="0"/>
        <w:pageBreakBefore w:val="0"/>
        <w:widowControl w:val="0"/>
        <w:kinsoku/>
        <w:wordWrap/>
        <w:overflowPunct w:val="0"/>
        <w:topLinePunct w:val="0"/>
        <w:autoSpaceDE/>
        <w:autoSpaceDN/>
        <w:bidi w:val="0"/>
        <w:adjustRightInd w:val="0"/>
        <w:snapToGrid w:val="0"/>
        <w:spacing w:line="550" w:lineRule="exact"/>
        <w:ind w:right="3569" w:firstLine="960" w:firstLineChars="300"/>
        <w:jc w:val="lef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二、预算单位构成</w:t>
      </w:r>
    </w:p>
    <w:p>
      <w:pPr>
        <w:keepNext w:val="0"/>
        <w:keepLines w:val="0"/>
        <w:pageBreakBefore w:val="0"/>
        <w:widowControl w:val="0"/>
        <w:kinsoku/>
        <w:wordWrap/>
        <w:overflowPunct w:val="0"/>
        <w:topLinePunct w:val="0"/>
        <w:autoSpaceDE/>
        <w:autoSpaceDN/>
        <w:bidi w:val="0"/>
        <w:adjustRightInd w:val="0"/>
        <w:snapToGrid w:val="0"/>
        <w:spacing w:line="550" w:lineRule="exact"/>
        <w:ind w:right="521"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第二部分 博爱县园林绿化中心2022年</w:t>
      </w:r>
      <w:r>
        <w:rPr>
          <w:rFonts w:hint="eastAsia" w:ascii="Times New Roman" w:hAnsi="Times New Roman" w:eastAsia="仿宋_GB2312" w:cs="仿宋_GB2312"/>
          <w:b/>
          <w:bCs/>
          <w:sz w:val="32"/>
          <w:szCs w:val="32"/>
          <w:lang w:eastAsia="zh-CN"/>
        </w:rPr>
        <w:t>度</w:t>
      </w:r>
      <w:r>
        <w:rPr>
          <w:rFonts w:hint="eastAsia" w:ascii="Times New Roman" w:hAnsi="Times New Roman" w:eastAsia="仿宋_GB2312" w:cs="仿宋_GB2312"/>
          <w:b/>
          <w:bCs/>
          <w:sz w:val="32"/>
          <w:szCs w:val="32"/>
        </w:rPr>
        <w:t>预算情况说明</w:t>
      </w:r>
    </w:p>
    <w:p>
      <w:pPr>
        <w:keepNext w:val="0"/>
        <w:keepLines w:val="0"/>
        <w:pageBreakBefore w:val="0"/>
        <w:widowControl w:val="0"/>
        <w:kinsoku/>
        <w:wordWrap/>
        <w:overflowPunct w:val="0"/>
        <w:topLinePunct w:val="0"/>
        <w:autoSpaceDE/>
        <w:autoSpaceDN/>
        <w:bidi w:val="0"/>
        <w:adjustRightInd w:val="0"/>
        <w:snapToGrid w:val="0"/>
        <w:spacing w:line="550" w:lineRule="exact"/>
        <w:ind w:right="521"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第三部分 名词解释</w:t>
      </w:r>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附件：博爱县园林绿化中心2022年度预算表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w:t>
      </w:r>
      <w:r>
        <w:rPr>
          <w:rFonts w:hint="eastAsia" w:ascii="Times New Roman" w:hAnsi="Times New Roman" w:eastAsia="仿宋_GB2312" w:cs="仿宋_GB2312"/>
          <w:sz w:val="32"/>
          <w:szCs w:val="32"/>
          <w:lang w:val="en-US" w:eastAsia="zh-CN"/>
        </w:rPr>
        <w:t>单位</w:t>
      </w:r>
      <w:r>
        <w:rPr>
          <w:rFonts w:hint="eastAsia" w:ascii="Times New Roman" w:hAnsi="Times New Roman" w:eastAsia="仿宋_GB2312" w:cs="仿宋_GB2312"/>
          <w:sz w:val="32"/>
          <w:szCs w:val="32"/>
        </w:rPr>
        <w:t>收支预算表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w:t>
      </w:r>
      <w:r>
        <w:rPr>
          <w:rFonts w:hint="eastAsia" w:ascii="Times New Roman" w:hAnsi="Times New Roman" w:eastAsia="仿宋_GB2312" w:cs="仿宋_GB2312"/>
          <w:sz w:val="32"/>
          <w:szCs w:val="32"/>
          <w:lang w:eastAsia="zh-CN"/>
        </w:rPr>
        <w:t>单位</w:t>
      </w:r>
      <w:r>
        <w:rPr>
          <w:rFonts w:hint="eastAsia" w:ascii="Times New Roman" w:hAnsi="Times New Roman" w:eastAsia="仿宋_GB2312" w:cs="仿宋_GB2312"/>
          <w:sz w:val="32"/>
          <w:szCs w:val="32"/>
        </w:rPr>
        <w:t>收入预算表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w:t>
      </w:r>
      <w:r>
        <w:rPr>
          <w:rFonts w:hint="eastAsia" w:ascii="Times New Roman" w:hAnsi="Times New Roman" w:eastAsia="仿宋_GB2312" w:cs="仿宋_GB2312"/>
          <w:sz w:val="32"/>
          <w:szCs w:val="32"/>
          <w:lang w:eastAsia="zh-CN"/>
        </w:rPr>
        <w:t>单位</w:t>
      </w:r>
      <w:r>
        <w:rPr>
          <w:rFonts w:hint="eastAsia" w:ascii="Times New Roman" w:hAnsi="Times New Roman" w:eastAsia="仿宋_GB2312" w:cs="仿宋_GB2312"/>
          <w:sz w:val="32"/>
          <w:szCs w:val="32"/>
        </w:rPr>
        <w:t>支出预算表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四、财政拨款收支预算表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五、一般公共预算支出预算表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六、一般公共预算基本支出预算表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七、一般公共预算基本支出明细表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八、支出经济分类汇总表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九、一般公共预算“三公”经费预算表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十、政府性基金支出预算表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十一、国有资本经营支出预算表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十二、项目支出预算表</w:t>
      </w:r>
    </w:p>
    <w:p>
      <w:pPr>
        <w:overflowPunct w:val="0"/>
        <w:adjustRightInd w:val="0"/>
        <w:snapToGrid w:val="0"/>
        <w:spacing w:line="550" w:lineRule="exact"/>
        <w:ind w:right="51" w:firstLine="960" w:firstLineChars="3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十三、行政（事业）单位机构运行经费</w:t>
      </w:r>
    </w:p>
    <w:p>
      <w:pPr>
        <w:overflowPunct w:val="0"/>
        <w:adjustRightInd w:val="0"/>
        <w:snapToGrid w:val="0"/>
        <w:spacing w:line="550" w:lineRule="exact"/>
        <w:ind w:firstLine="940" w:firstLineChars="294"/>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十四、</w:t>
      </w:r>
      <w:r>
        <w:rPr>
          <w:rFonts w:hint="eastAsia" w:ascii="Times New Roman" w:hAnsi="Times New Roman" w:eastAsia="仿宋_GB2312" w:cs="仿宋_GB2312"/>
          <w:sz w:val="32"/>
          <w:szCs w:val="32"/>
          <w:lang w:eastAsia="zh-CN"/>
        </w:rPr>
        <w:t>单位</w:t>
      </w:r>
      <w:r>
        <w:rPr>
          <w:rFonts w:hint="eastAsia" w:ascii="Times New Roman" w:hAnsi="Times New Roman" w:eastAsia="仿宋_GB2312" w:cs="仿宋_GB2312"/>
          <w:sz w:val="32"/>
          <w:szCs w:val="32"/>
        </w:rPr>
        <w:t>预算项目绩效目标表</w:t>
      </w:r>
    </w:p>
    <w:p>
      <w:pPr>
        <w:overflowPunct w:val="0"/>
        <w:adjustRightInd w:val="0"/>
        <w:snapToGrid w:val="0"/>
        <w:spacing w:line="550" w:lineRule="exact"/>
        <w:jc w:val="center"/>
        <w:rPr>
          <w:rFonts w:ascii="Times New Roman" w:hAnsi="Times New Roman" w:eastAsia="仿宋_GB2312" w:cs="仿宋_GB2312"/>
          <w:sz w:val="32"/>
          <w:szCs w:val="32"/>
        </w:rPr>
      </w:pPr>
      <w:r>
        <w:rPr>
          <w:rFonts w:hint="eastAsia" w:ascii="Times New Roman" w:hAnsi="Times New Roman" w:eastAsia="仿宋_GB2312" w:cs="仿宋_GB2312"/>
          <w:sz w:val="32"/>
          <w:szCs w:val="32"/>
        </w:rPr>
        <w:br w:type="page"/>
      </w:r>
    </w:p>
    <w:p>
      <w:pPr>
        <w:overflowPunct w:val="0"/>
        <w:adjustRightInd w:val="0"/>
        <w:snapToGrid w:val="0"/>
        <w:spacing w:line="550" w:lineRule="exact"/>
        <w:jc w:val="center"/>
        <w:rPr>
          <w:rFonts w:ascii="Times New Roman" w:hAnsi="Times New Roman" w:eastAsia="黑体" w:cs="仿宋_GB2312"/>
          <w:bCs/>
          <w:color w:val="000000"/>
          <w:sz w:val="36"/>
          <w:szCs w:val="36"/>
        </w:rPr>
      </w:pPr>
      <w:r>
        <w:rPr>
          <w:rFonts w:hint="eastAsia" w:ascii="Times New Roman" w:hAnsi="Times New Roman" w:eastAsia="黑体" w:cs="仿宋_GB2312"/>
          <w:bCs/>
          <w:color w:val="000000"/>
          <w:sz w:val="36"/>
          <w:szCs w:val="36"/>
        </w:rPr>
        <w:t>第一部分</w:t>
      </w:r>
    </w:p>
    <w:p>
      <w:pPr>
        <w:overflowPunct w:val="0"/>
        <w:autoSpaceDE w:val="0"/>
        <w:autoSpaceDN w:val="0"/>
        <w:adjustRightInd w:val="0"/>
        <w:snapToGrid w:val="0"/>
        <w:spacing w:line="574" w:lineRule="exact"/>
        <w:jc w:val="center"/>
        <w:rPr>
          <w:rFonts w:ascii="Times New Roman" w:hAnsi="Times New Roman" w:eastAsia="黑体" w:cs="仿宋_GB2312"/>
          <w:color w:val="000000"/>
          <w:sz w:val="36"/>
          <w:szCs w:val="36"/>
        </w:rPr>
      </w:pPr>
      <w:r>
        <w:rPr>
          <w:rFonts w:hint="eastAsia" w:ascii="Times New Roman" w:hAnsi="Times New Roman" w:eastAsia="黑体" w:cs="仿宋_GB2312"/>
          <w:bCs/>
          <w:color w:val="000000"/>
          <w:sz w:val="36"/>
          <w:szCs w:val="36"/>
        </w:rPr>
        <w:t>博爱县园林绿化中心</w:t>
      </w:r>
      <w:r>
        <w:rPr>
          <w:rFonts w:hint="eastAsia" w:ascii="Times New Roman" w:hAnsi="Times New Roman" w:eastAsia="黑体" w:cs="仿宋_GB2312"/>
          <w:bCs/>
          <w:color w:val="000000"/>
          <w:sz w:val="36"/>
          <w:szCs w:val="36"/>
          <w:lang w:eastAsia="zh-CN"/>
        </w:rPr>
        <w:t>单位</w:t>
      </w:r>
      <w:r>
        <w:rPr>
          <w:rFonts w:hint="eastAsia" w:ascii="Times New Roman" w:hAnsi="Times New Roman" w:eastAsia="黑体" w:cs="仿宋_GB2312"/>
          <w:bCs/>
          <w:color w:val="000000"/>
          <w:sz w:val="36"/>
          <w:szCs w:val="36"/>
        </w:rPr>
        <w:t>概况</w:t>
      </w:r>
    </w:p>
    <w:p>
      <w:pPr>
        <w:overflowPunct w:val="0"/>
        <w:autoSpaceDE w:val="0"/>
        <w:autoSpaceDN w:val="0"/>
        <w:adjustRightInd w:val="0"/>
        <w:snapToGrid w:val="0"/>
        <w:spacing w:line="574" w:lineRule="exact"/>
        <w:ind w:firstLine="640" w:firstLineChars="200"/>
        <w:jc w:val="center"/>
        <w:rPr>
          <w:rFonts w:ascii="Times New Roman" w:hAnsi="Times New Roman" w:eastAsia="仿宋_GB2312" w:cs="仿宋_GB2312"/>
          <w:color w:val="000000"/>
          <w:sz w:val="32"/>
          <w:szCs w:val="32"/>
        </w:rPr>
      </w:pPr>
    </w:p>
    <w:p>
      <w:pPr>
        <w:numPr>
          <w:ilvl w:val="0"/>
          <w:numId w:val="1"/>
        </w:numPr>
        <w:overflowPunct w:val="0"/>
        <w:autoSpaceDE w:val="0"/>
        <w:autoSpaceDN w:val="0"/>
        <w:adjustRightInd w:val="0"/>
        <w:snapToGrid w:val="0"/>
        <w:spacing w:line="574" w:lineRule="exact"/>
        <w:ind w:firstLine="640" w:firstLineChars="200"/>
        <w:outlineLvl w:val="0"/>
        <w:rPr>
          <w:rFonts w:ascii="Times New Roman" w:hAnsi="Times New Roman" w:eastAsia="黑体" w:cs="仿宋_GB2312"/>
          <w:color w:val="000000"/>
          <w:sz w:val="32"/>
          <w:szCs w:val="32"/>
        </w:rPr>
      </w:pPr>
      <w:r>
        <w:rPr>
          <w:rFonts w:hint="eastAsia" w:ascii="Times New Roman" w:hAnsi="Times New Roman" w:eastAsia="黑体" w:cs="仿宋_GB2312"/>
          <w:color w:val="000000"/>
          <w:sz w:val="32"/>
          <w:szCs w:val="32"/>
        </w:rPr>
        <w:t>主要职能</w:t>
      </w:r>
    </w:p>
    <w:p>
      <w:pPr>
        <w:overflowPunct w:val="0"/>
        <w:autoSpaceDE w:val="0"/>
        <w:autoSpaceDN w:val="0"/>
        <w:adjustRightInd w:val="0"/>
        <w:snapToGrid w:val="0"/>
        <w:spacing w:line="574" w:lineRule="exact"/>
        <w:ind w:firstLine="640" w:firstLineChars="200"/>
        <w:jc w:val="left"/>
        <w:rPr>
          <w:rFonts w:ascii="Times New Roman" w:hAnsi="Times New Roman" w:eastAsia="楷体_GB2312" w:cs="仿宋_GB2312"/>
          <w:color w:val="000000"/>
          <w:sz w:val="32"/>
          <w:szCs w:val="32"/>
        </w:rPr>
      </w:pPr>
      <w:r>
        <w:rPr>
          <w:rFonts w:hint="eastAsia" w:ascii="Times New Roman" w:hAnsi="Times New Roman" w:eastAsia="楷体_GB2312" w:cs="仿宋_GB2312"/>
          <w:color w:val="000000"/>
          <w:sz w:val="32"/>
          <w:szCs w:val="32"/>
        </w:rPr>
        <w:t>（一）机构设置情况</w:t>
      </w:r>
    </w:p>
    <w:p>
      <w:pPr>
        <w:overflowPunct w:val="0"/>
        <w:autoSpaceDE w:val="0"/>
        <w:autoSpaceDN w:val="0"/>
        <w:adjustRightInd w:val="0"/>
        <w:snapToGrid w:val="0"/>
        <w:spacing w:line="574" w:lineRule="exact"/>
        <w:ind w:firstLine="640" w:firstLineChars="200"/>
        <w:rPr>
          <w:rFonts w:hint="eastAsia" w:ascii="Times New Roman" w:hAnsi="Times New Roman" w:eastAsia="仿宋_GB2312" w:cs="仿宋_GB2312"/>
          <w:color w:val="000000"/>
          <w:sz w:val="32"/>
          <w:szCs w:val="32"/>
          <w:highlight w:val="none"/>
        </w:rPr>
      </w:pPr>
      <w:r>
        <w:rPr>
          <w:rFonts w:hint="eastAsia" w:ascii="Times New Roman" w:hAnsi="Times New Roman" w:eastAsia="仿宋_GB2312" w:cs="仿宋_GB2312"/>
          <w:color w:val="000000"/>
          <w:sz w:val="32"/>
          <w:szCs w:val="32"/>
          <w:highlight w:val="none"/>
        </w:rPr>
        <w:t>博爱县园林绿化中心为博爱县城市管理局下设二级机构，全额拨款事业单位，内设2个职能股（室），分别是办公室、技术股。</w:t>
      </w:r>
    </w:p>
    <w:p>
      <w:pPr>
        <w:overflowPunct w:val="0"/>
        <w:autoSpaceDE w:val="0"/>
        <w:autoSpaceDN w:val="0"/>
        <w:adjustRightInd w:val="0"/>
        <w:snapToGrid w:val="0"/>
        <w:spacing w:line="574" w:lineRule="exact"/>
        <w:ind w:firstLine="640" w:firstLineChars="200"/>
        <w:rPr>
          <w:rFonts w:ascii="Times New Roman" w:hAnsi="Times New Roman" w:eastAsia="楷体_GB2312" w:cs="仿宋_GB2312"/>
          <w:color w:val="000000"/>
          <w:sz w:val="32"/>
          <w:szCs w:val="32"/>
        </w:rPr>
      </w:pPr>
      <w:r>
        <w:rPr>
          <w:rFonts w:hint="eastAsia" w:ascii="Times New Roman" w:hAnsi="Times New Roman" w:eastAsia="楷体_GB2312" w:cs="仿宋_GB2312"/>
          <w:color w:val="000000"/>
          <w:sz w:val="32"/>
          <w:szCs w:val="32"/>
        </w:rPr>
        <w:t>（二）</w:t>
      </w:r>
      <w:r>
        <w:rPr>
          <w:rFonts w:hint="eastAsia" w:ascii="Times New Roman" w:hAnsi="Times New Roman" w:eastAsia="楷体_GB2312" w:cs="仿宋_GB2312"/>
          <w:color w:val="000000"/>
          <w:sz w:val="32"/>
          <w:szCs w:val="32"/>
          <w:lang w:eastAsia="zh-CN"/>
        </w:rPr>
        <w:t>单位</w:t>
      </w:r>
      <w:r>
        <w:rPr>
          <w:rFonts w:hint="eastAsia" w:ascii="Times New Roman" w:hAnsi="Times New Roman" w:eastAsia="楷体_GB2312" w:cs="仿宋_GB2312"/>
          <w:color w:val="000000"/>
          <w:sz w:val="32"/>
          <w:szCs w:val="32"/>
        </w:rPr>
        <w:t>职责</w:t>
      </w:r>
    </w:p>
    <w:p>
      <w:pPr>
        <w:overflowPunct w:val="0"/>
        <w:autoSpaceDE w:val="0"/>
        <w:autoSpaceDN w:val="0"/>
        <w:adjustRightInd w:val="0"/>
        <w:snapToGrid w:val="0"/>
        <w:spacing w:line="574" w:lineRule="exact"/>
        <w:ind w:firstLine="640" w:firstLineChars="200"/>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宣传贯彻城市园林绿化方面的法</w:t>
      </w:r>
      <w:bookmarkStart w:id="0" w:name="_GoBack"/>
      <w:bookmarkEnd w:id="0"/>
      <w:r>
        <w:rPr>
          <w:rFonts w:hint="eastAsia" w:ascii="Times New Roman" w:hAnsi="Times New Roman" w:eastAsia="仿宋_GB2312" w:cs="仿宋_GB2312"/>
          <w:color w:val="000000"/>
          <w:sz w:val="32"/>
          <w:szCs w:val="32"/>
        </w:rPr>
        <w:t>律法规和方针政策，落实城市园林绿化行业标准；负责城市园林绿地系统的规划建设、维护管理工作；负责城市古树名木的调查、登记、建档，参加建设项目绿化规划方案的评审；会同有关</w:t>
      </w:r>
      <w:r>
        <w:rPr>
          <w:rFonts w:hint="eastAsia" w:ascii="Times New Roman" w:hAnsi="Times New Roman" w:eastAsia="仿宋_GB2312" w:cs="仿宋_GB2312"/>
          <w:color w:val="000000"/>
          <w:sz w:val="32"/>
          <w:szCs w:val="32"/>
          <w:lang w:eastAsia="zh-CN"/>
        </w:rPr>
        <w:t>单位</w:t>
      </w:r>
      <w:r>
        <w:rPr>
          <w:rFonts w:hint="eastAsia" w:ascii="Times New Roman" w:hAnsi="Times New Roman" w:eastAsia="仿宋_GB2312" w:cs="仿宋_GB2312"/>
          <w:color w:val="000000"/>
          <w:sz w:val="32"/>
          <w:szCs w:val="32"/>
        </w:rPr>
        <w:t>做好园林绿化规划编制及城市园林绿化工程设计、城市园林绿化工程绿地指标、移植、砍伐、修剪城市树木和临时占用城市园林绿地的行政许可工作；负责城区及乡镇内各单位的绿化督促、检查和技术指导工作；负责城区内新建项目绿化规划的前置审批及绿化工程的竣工验收工作；负责城区内的城市绿化普查，绿化资料的收集、整理、归档工作；协助县城建监察大队查处园林绿化违法违章事件；指导园林绿化基地建设。</w:t>
      </w:r>
    </w:p>
    <w:p>
      <w:pPr>
        <w:overflowPunct w:val="0"/>
        <w:autoSpaceDE w:val="0"/>
        <w:autoSpaceDN w:val="0"/>
        <w:adjustRightInd w:val="0"/>
        <w:snapToGrid w:val="0"/>
        <w:spacing w:line="574" w:lineRule="exact"/>
        <w:ind w:firstLine="640" w:firstLineChars="200"/>
        <w:outlineLvl w:val="0"/>
        <w:rPr>
          <w:rFonts w:ascii="Times New Roman" w:hAnsi="Times New Roman" w:eastAsia="黑体" w:cs="仿宋_GB2312"/>
          <w:color w:val="000000"/>
          <w:sz w:val="32"/>
          <w:szCs w:val="32"/>
        </w:rPr>
      </w:pPr>
      <w:r>
        <w:rPr>
          <w:rFonts w:hint="eastAsia" w:ascii="Times New Roman" w:hAnsi="Times New Roman" w:eastAsia="黑体" w:cs="仿宋_GB2312"/>
          <w:color w:val="000000"/>
          <w:sz w:val="32"/>
          <w:szCs w:val="32"/>
        </w:rPr>
        <w:t>二、博爱县园林绿化中心预算单位构成</w:t>
      </w:r>
    </w:p>
    <w:p>
      <w:pPr>
        <w:overflowPunct w:val="0"/>
        <w:autoSpaceDE w:val="0"/>
        <w:autoSpaceDN w:val="0"/>
        <w:adjustRightInd w:val="0"/>
        <w:snapToGrid w:val="0"/>
        <w:spacing w:line="574" w:lineRule="exact"/>
        <w:ind w:firstLine="640" w:firstLineChars="200"/>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rPr>
        <w:t>本预算为博爱县园林绿化中心单位预算</w:t>
      </w:r>
      <w:r>
        <w:rPr>
          <w:rFonts w:hint="eastAsia" w:ascii="Times New Roman" w:hAnsi="Times New Roman" w:eastAsia="仿宋_GB2312" w:cs="仿宋_GB2312"/>
          <w:color w:val="000000"/>
          <w:sz w:val="32"/>
          <w:szCs w:val="32"/>
          <w:lang w:eastAsia="zh-CN"/>
        </w:rPr>
        <w:t>。</w:t>
      </w:r>
    </w:p>
    <w:p>
      <w:pPr>
        <w:overflowPunct w:val="0"/>
        <w:autoSpaceDE w:val="0"/>
        <w:autoSpaceDN w:val="0"/>
        <w:adjustRightInd w:val="0"/>
        <w:snapToGrid w:val="0"/>
        <w:spacing w:line="574" w:lineRule="exact"/>
        <w:ind w:firstLine="640" w:firstLineChars="200"/>
        <w:rPr>
          <w:rFonts w:hint="eastAsia" w:ascii="Times New Roman" w:hAnsi="Times New Roman" w:eastAsia="仿宋_GB2312" w:cs="仿宋_GB2312"/>
          <w:color w:val="000000"/>
          <w:sz w:val="32"/>
          <w:szCs w:val="32"/>
          <w:lang w:eastAsia="zh-CN"/>
        </w:rPr>
      </w:pPr>
    </w:p>
    <w:p>
      <w:pPr>
        <w:shd w:val="clear" w:color="auto" w:fill="FFFFFF"/>
        <w:overflowPunct w:val="0"/>
        <w:autoSpaceDE w:val="0"/>
        <w:autoSpaceDN w:val="0"/>
        <w:adjustRightInd w:val="0"/>
        <w:snapToGrid w:val="0"/>
        <w:spacing w:line="574" w:lineRule="exact"/>
        <w:jc w:val="center"/>
        <w:rPr>
          <w:rFonts w:ascii="Times New Roman" w:hAnsi="Times New Roman" w:eastAsia="黑体" w:cs="仿宋_GB2312"/>
          <w:bCs/>
          <w:color w:val="000000"/>
          <w:sz w:val="36"/>
          <w:szCs w:val="36"/>
        </w:rPr>
      </w:pPr>
      <w:r>
        <w:rPr>
          <w:rFonts w:hint="eastAsia" w:ascii="Times New Roman" w:hAnsi="Times New Roman" w:eastAsia="黑体" w:cs="仿宋_GB2312"/>
          <w:bCs/>
          <w:color w:val="000000"/>
          <w:sz w:val="36"/>
          <w:szCs w:val="36"/>
        </w:rPr>
        <w:t>第二部分</w:t>
      </w:r>
    </w:p>
    <w:p>
      <w:pPr>
        <w:shd w:val="clear" w:color="auto" w:fill="FFFFFF"/>
        <w:overflowPunct w:val="0"/>
        <w:autoSpaceDE w:val="0"/>
        <w:autoSpaceDN w:val="0"/>
        <w:adjustRightInd w:val="0"/>
        <w:snapToGrid w:val="0"/>
        <w:spacing w:line="574" w:lineRule="exact"/>
        <w:jc w:val="center"/>
        <w:rPr>
          <w:rFonts w:ascii="Times New Roman" w:hAnsi="Times New Roman" w:eastAsia="黑体" w:cs="仿宋_GB2312"/>
          <w:bCs/>
          <w:color w:val="000000"/>
          <w:sz w:val="36"/>
          <w:szCs w:val="36"/>
        </w:rPr>
      </w:pPr>
      <w:r>
        <w:rPr>
          <w:rFonts w:hint="eastAsia" w:ascii="Times New Roman" w:hAnsi="Times New Roman" w:eastAsia="黑体" w:cs="仿宋_GB2312"/>
          <w:bCs/>
          <w:color w:val="000000"/>
          <w:sz w:val="36"/>
          <w:szCs w:val="36"/>
        </w:rPr>
        <w:t>博爱县园林绿化中心2022年度预算情况说明</w:t>
      </w:r>
    </w:p>
    <w:p>
      <w:pPr>
        <w:overflowPunct w:val="0"/>
        <w:autoSpaceDE w:val="0"/>
        <w:autoSpaceDN w:val="0"/>
        <w:adjustRightInd w:val="0"/>
        <w:snapToGrid w:val="0"/>
        <w:spacing w:line="574" w:lineRule="exact"/>
        <w:ind w:firstLine="640" w:firstLineChars="200"/>
        <w:outlineLvl w:val="0"/>
        <w:rPr>
          <w:rFonts w:ascii="Times New Roman" w:hAnsi="Times New Roman" w:eastAsia="仿宋_GB2312" w:cs="仿宋_GB2312"/>
          <w:color w:val="000000"/>
          <w:sz w:val="32"/>
          <w:szCs w:val="32"/>
        </w:rPr>
      </w:pPr>
    </w:p>
    <w:p>
      <w:pPr>
        <w:overflowPunct w:val="0"/>
        <w:autoSpaceDE w:val="0"/>
        <w:autoSpaceDN w:val="0"/>
        <w:adjustRightInd w:val="0"/>
        <w:snapToGrid w:val="0"/>
        <w:spacing w:line="574" w:lineRule="exact"/>
        <w:ind w:firstLine="640" w:firstLineChars="200"/>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一、收入支出预算总体情况说明</w:t>
      </w:r>
    </w:p>
    <w:p>
      <w:pPr>
        <w:overflowPunct w:val="0"/>
        <w:autoSpaceDE w:val="0"/>
        <w:autoSpaceDN w:val="0"/>
        <w:adjustRightInd w:val="0"/>
        <w:snapToGrid w:val="0"/>
        <w:spacing w:line="574" w:lineRule="exact"/>
        <w:ind w:firstLine="640" w:firstLineChars="200"/>
        <w:rPr>
          <w:rFonts w:ascii="Times New Roman" w:hAnsi="Times New Roman" w:eastAsia="仿宋_GB2312" w:cs="Arial"/>
          <w:color w:val="000000"/>
          <w:sz w:val="32"/>
          <w:szCs w:val="32"/>
        </w:rPr>
      </w:pPr>
      <w:r>
        <w:rPr>
          <w:rFonts w:hint="eastAsia" w:ascii="Times New Roman" w:hAnsi="Times New Roman" w:eastAsia="仿宋_GB2312" w:cs="仿宋_GB2312"/>
          <w:color w:val="000000"/>
          <w:sz w:val="32"/>
          <w:szCs w:val="32"/>
        </w:rPr>
        <w:t>2022年收入总计</w:t>
      </w:r>
      <w:r>
        <w:rPr>
          <w:rFonts w:hint="eastAsia" w:ascii="Times New Roman" w:hAnsi="Times New Roman" w:eastAsia="仿宋_GB2312" w:cs="Arial"/>
          <w:color w:val="000000"/>
          <w:sz w:val="32"/>
          <w:szCs w:val="32"/>
        </w:rPr>
        <w:t>1621.61</w:t>
      </w:r>
      <w:r>
        <w:rPr>
          <w:rFonts w:hint="eastAsia" w:ascii="Times New Roman" w:hAnsi="Times New Roman" w:eastAsia="仿宋_GB2312" w:cs="仿宋_GB2312"/>
          <w:color w:val="000000"/>
          <w:sz w:val="32"/>
          <w:szCs w:val="32"/>
        </w:rPr>
        <w:t>万元，支出总计</w:t>
      </w:r>
      <w:r>
        <w:rPr>
          <w:rFonts w:hint="eastAsia" w:ascii="Times New Roman" w:hAnsi="Times New Roman" w:eastAsia="仿宋_GB2312" w:cs="Arial"/>
          <w:color w:val="000000"/>
          <w:sz w:val="32"/>
          <w:szCs w:val="32"/>
        </w:rPr>
        <w:t>1621.61</w:t>
      </w:r>
      <w:r>
        <w:rPr>
          <w:rFonts w:hint="eastAsia" w:ascii="Times New Roman" w:hAnsi="Times New Roman" w:eastAsia="仿宋_GB2312" w:cs="仿宋_GB2312"/>
          <w:color w:val="000000"/>
          <w:sz w:val="32"/>
          <w:szCs w:val="32"/>
        </w:rPr>
        <w:t>万元，与</w:t>
      </w:r>
      <w:r>
        <w:rPr>
          <w:rFonts w:hint="eastAsia" w:ascii="Times New Roman" w:hAnsi="Times New Roman" w:eastAsia="仿宋_GB2312" w:cs="仿宋_GB2312"/>
          <w:color w:val="000000"/>
          <w:sz w:val="32"/>
          <w:szCs w:val="32"/>
          <w:lang w:eastAsia="zh-CN"/>
        </w:rPr>
        <w:t>上</w:t>
      </w:r>
      <w:r>
        <w:rPr>
          <w:rFonts w:hint="eastAsia" w:ascii="Times New Roman" w:hAnsi="Times New Roman" w:eastAsia="仿宋_GB2312" w:cs="仿宋_GB2312"/>
          <w:color w:val="000000"/>
          <w:sz w:val="32"/>
          <w:szCs w:val="32"/>
        </w:rPr>
        <w:t>年相比，收、支总计各增加</w:t>
      </w:r>
      <w:r>
        <w:rPr>
          <w:rFonts w:hint="eastAsia" w:ascii="Times New Roman" w:hAnsi="Times New Roman" w:eastAsia="仿宋_GB2312" w:cs="Arial"/>
          <w:color w:val="000000"/>
          <w:sz w:val="32"/>
          <w:szCs w:val="32"/>
        </w:rPr>
        <w:t>372.14</w:t>
      </w:r>
      <w:r>
        <w:rPr>
          <w:rFonts w:hint="eastAsia" w:ascii="Times New Roman" w:hAnsi="Times New Roman" w:eastAsia="仿宋_GB2312" w:cs="仿宋_GB2312"/>
          <w:color w:val="000000"/>
          <w:sz w:val="32"/>
          <w:szCs w:val="32"/>
        </w:rPr>
        <w:t>万元，增长29.78%。主要原因：</w:t>
      </w:r>
      <w:r>
        <w:rPr>
          <w:rFonts w:hint="eastAsia" w:ascii="仿宋_GB2312" w:hAnsi="仿宋_GB2312" w:eastAsia="仿宋_GB2312" w:cs="仿宋_GB2312"/>
          <w:color w:val="000000"/>
          <w:sz w:val="32"/>
          <w:szCs w:val="32"/>
        </w:rPr>
        <w:t>项目支出增加、政府性基金</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s="仿宋_GB2312"/>
          <w:color w:val="000000"/>
          <w:sz w:val="32"/>
          <w:szCs w:val="32"/>
        </w:rPr>
        <w:t>增加</w:t>
      </w:r>
      <w:r>
        <w:rPr>
          <w:rFonts w:hint="eastAsia" w:ascii="Times New Roman" w:hAnsi="Times New Roman" w:eastAsia="仿宋_GB2312" w:cs="Arial"/>
          <w:color w:val="000000"/>
          <w:sz w:val="32"/>
          <w:szCs w:val="32"/>
        </w:rPr>
        <w:t xml:space="preserve">。  </w:t>
      </w:r>
    </w:p>
    <w:p>
      <w:pPr>
        <w:overflowPunct w:val="0"/>
        <w:autoSpaceDE w:val="0"/>
        <w:autoSpaceDN w:val="0"/>
        <w:adjustRightInd w:val="0"/>
        <w:snapToGrid w:val="0"/>
        <w:spacing w:line="574"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二、收入预算总体情况说明</w:t>
      </w:r>
    </w:p>
    <w:p>
      <w:pPr>
        <w:shd w:val="clear" w:color="auto" w:fill="FFFFFF"/>
        <w:overflowPunct w:val="0"/>
        <w:autoSpaceDE w:val="0"/>
        <w:autoSpaceDN w:val="0"/>
        <w:adjustRightInd w:val="0"/>
        <w:snapToGrid w:val="0"/>
        <w:spacing w:line="574" w:lineRule="exact"/>
        <w:ind w:firstLine="64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2022年收入合计</w:t>
      </w:r>
      <w:r>
        <w:rPr>
          <w:rFonts w:hint="eastAsia" w:ascii="Times New Roman" w:hAnsi="Times New Roman" w:eastAsia="仿宋_GB2312" w:cs="Arial"/>
          <w:color w:val="000000"/>
          <w:sz w:val="32"/>
          <w:szCs w:val="32"/>
        </w:rPr>
        <w:t>1621.61</w:t>
      </w:r>
      <w:r>
        <w:rPr>
          <w:rFonts w:hint="eastAsia" w:ascii="Times New Roman" w:hAnsi="Times New Roman" w:eastAsia="仿宋_GB2312" w:cs="仿宋_GB2312"/>
          <w:color w:val="000000"/>
          <w:sz w:val="32"/>
          <w:szCs w:val="32"/>
        </w:rPr>
        <w:t>万元，其中：一般公共预算收入725.56万元; 政府性基金预算收入</w:t>
      </w:r>
      <w:r>
        <w:rPr>
          <w:rFonts w:hint="eastAsia" w:ascii="Times New Roman" w:hAnsi="Times New Roman" w:eastAsia="仿宋_GB2312" w:cs="Arial"/>
          <w:color w:val="000000"/>
          <w:sz w:val="32"/>
          <w:szCs w:val="32"/>
        </w:rPr>
        <w:t>896.05</w:t>
      </w:r>
      <w:r>
        <w:rPr>
          <w:rFonts w:hint="eastAsia" w:ascii="Times New Roman" w:hAnsi="Times New Roman" w:eastAsia="仿宋_GB2312" w:cs="仿宋_GB2312"/>
          <w:color w:val="000000"/>
          <w:sz w:val="32"/>
          <w:szCs w:val="32"/>
        </w:rPr>
        <w:t>万元；国有资本经营预算收</w:t>
      </w:r>
      <w:r>
        <w:rPr>
          <w:rFonts w:hint="eastAsia" w:ascii="Times New Roman" w:hAnsi="Times New Roman" w:eastAsia="仿宋_GB2312" w:cs="仿宋_GB2312"/>
          <w:color w:val="000000"/>
          <w:spacing w:val="6"/>
          <w:sz w:val="32"/>
          <w:szCs w:val="32"/>
        </w:rPr>
        <w:t>入</w:t>
      </w:r>
      <w:r>
        <w:rPr>
          <w:rFonts w:hint="eastAsia" w:ascii="Times New Roman" w:hAnsi="Times New Roman" w:eastAsia="仿宋_GB2312" w:cs="Arial"/>
          <w:color w:val="000000"/>
          <w:spacing w:val="6"/>
          <w:sz w:val="32"/>
          <w:szCs w:val="32"/>
        </w:rPr>
        <w:t>0</w:t>
      </w:r>
      <w:r>
        <w:rPr>
          <w:rFonts w:hint="eastAsia" w:ascii="Times New Roman" w:hAnsi="Times New Roman" w:eastAsia="仿宋_GB2312" w:cs="Arial"/>
          <w:color w:val="000000"/>
          <w:spacing w:val="6"/>
          <w:sz w:val="32"/>
          <w:szCs w:val="32"/>
          <w:lang w:val="en-US" w:eastAsia="zh-CN"/>
        </w:rPr>
        <w:t>.00</w:t>
      </w:r>
      <w:r>
        <w:rPr>
          <w:rFonts w:hint="eastAsia" w:ascii="Times New Roman" w:hAnsi="Times New Roman" w:eastAsia="仿宋_GB2312" w:cs="Arial"/>
          <w:color w:val="000000"/>
          <w:spacing w:val="6"/>
          <w:sz w:val="32"/>
          <w:szCs w:val="32"/>
        </w:rPr>
        <w:t>万元；财政专户管理资金收入0</w:t>
      </w:r>
      <w:r>
        <w:rPr>
          <w:rFonts w:hint="eastAsia" w:ascii="Times New Roman" w:hAnsi="Times New Roman" w:eastAsia="仿宋_GB2312" w:cs="Arial"/>
          <w:color w:val="000000"/>
          <w:spacing w:val="6"/>
          <w:sz w:val="32"/>
          <w:szCs w:val="32"/>
          <w:lang w:val="en-US" w:eastAsia="zh-CN"/>
        </w:rPr>
        <w:t>.00</w:t>
      </w:r>
      <w:r>
        <w:rPr>
          <w:rFonts w:hint="eastAsia" w:ascii="Times New Roman" w:hAnsi="Times New Roman" w:eastAsia="仿宋_GB2312" w:cs="Arial"/>
          <w:color w:val="000000"/>
          <w:spacing w:val="6"/>
          <w:sz w:val="32"/>
          <w:szCs w:val="32"/>
        </w:rPr>
        <w:t>万元</w:t>
      </w:r>
      <w:r>
        <w:rPr>
          <w:rFonts w:hint="eastAsia" w:ascii="Times New Roman" w:hAnsi="Times New Roman" w:eastAsia="仿宋_GB2312" w:cs="Arial"/>
          <w:color w:val="000000"/>
          <w:sz w:val="32"/>
          <w:szCs w:val="32"/>
        </w:rPr>
        <w:t>。</w:t>
      </w:r>
      <w:r>
        <w:rPr>
          <w:rFonts w:hint="eastAsia" w:ascii="Times New Roman" w:hAnsi="Times New Roman" w:eastAsia="仿宋_GB2312" w:cs="仿宋_GB2312"/>
          <w:color w:val="000000"/>
          <w:sz w:val="32"/>
          <w:szCs w:val="32"/>
        </w:rPr>
        <w:t xml:space="preserve"> </w:t>
      </w:r>
    </w:p>
    <w:p>
      <w:pPr>
        <w:overflowPunct w:val="0"/>
        <w:autoSpaceDE w:val="0"/>
        <w:autoSpaceDN w:val="0"/>
        <w:adjustRightInd w:val="0"/>
        <w:snapToGrid w:val="0"/>
        <w:spacing w:line="574" w:lineRule="exact"/>
        <w:ind w:firstLine="640" w:firstLineChars="200"/>
        <w:outlineLvl w:val="0"/>
        <w:rPr>
          <w:rFonts w:ascii="Times New Roman" w:hAnsi="Times New Roman" w:eastAsia="仿宋_GB2312" w:cs="仿宋_GB2312"/>
          <w:color w:val="000000"/>
          <w:sz w:val="32"/>
          <w:szCs w:val="32"/>
        </w:rPr>
      </w:pPr>
      <w:r>
        <w:rPr>
          <w:rFonts w:hint="eastAsia" w:ascii="Times New Roman" w:hAnsi="Times New Roman" w:eastAsia="黑体"/>
          <w:color w:val="000000"/>
          <w:sz w:val="32"/>
          <w:szCs w:val="32"/>
        </w:rPr>
        <w:t>三、支出预算总体情况说明</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2022年支出合计</w:t>
      </w:r>
      <w:r>
        <w:rPr>
          <w:rFonts w:hint="eastAsia" w:ascii="Times New Roman" w:hAnsi="Times New Roman" w:eastAsia="仿宋_GB2312" w:cs="Arial"/>
          <w:color w:val="000000"/>
          <w:sz w:val="32"/>
          <w:szCs w:val="32"/>
        </w:rPr>
        <w:t>1621.61</w:t>
      </w:r>
      <w:r>
        <w:rPr>
          <w:rFonts w:hint="eastAsia" w:ascii="Times New Roman" w:hAnsi="Times New Roman" w:eastAsia="仿宋_GB2312" w:cs="仿宋_GB2312"/>
          <w:color w:val="000000"/>
          <w:sz w:val="32"/>
          <w:szCs w:val="32"/>
        </w:rPr>
        <w:t>万元，其中：基本支出</w:t>
      </w:r>
      <w:r>
        <w:rPr>
          <w:rFonts w:hint="eastAsia" w:ascii="Times New Roman" w:hAnsi="Times New Roman" w:eastAsia="仿宋_GB2312" w:cs="Arial"/>
          <w:color w:val="000000"/>
          <w:sz w:val="32"/>
          <w:szCs w:val="32"/>
        </w:rPr>
        <w:t>185</w:t>
      </w:r>
      <w:r>
        <w:rPr>
          <w:rFonts w:hint="eastAsia" w:ascii="Times New Roman" w:hAnsi="Times New Roman" w:eastAsia="仿宋_GB2312" w:cs="Arial"/>
          <w:color w:val="000000"/>
          <w:sz w:val="32"/>
          <w:szCs w:val="32"/>
          <w:lang w:val="en-US" w:eastAsia="zh-CN"/>
        </w:rPr>
        <w:t>.00</w:t>
      </w:r>
      <w:r>
        <w:rPr>
          <w:rFonts w:hint="eastAsia" w:ascii="Times New Roman" w:hAnsi="Times New Roman" w:eastAsia="仿宋_GB2312" w:cs="仿宋_GB2312"/>
          <w:color w:val="000000"/>
          <w:sz w:val="32"/>
          <w:szCs w:val="32"/>
        </w:rPr>
        <w:t>万元，占</w:t>
      </w:r>
      <w:r>
        <w:rPr>
          <w:rFonts w:hint="eastAsia" w:ascii="Times New Roman" w:hAnsi="Times New Roman" w:eastAsia="仿宋_GB2312" w:cs="Arial"/>
          <w:color w:val="000000"/>
          <w:sz w:val="32"/>
          <w:szCs w:val="32"/>
        </w:rPr>
        <w:t>11.42%</w:t>
      </w:r>
      <w:r>
        <w:rPr>
          <w:rFonts w:hint="eastAsia" w:ascii="Times New Roman" w:hAnsi="Times New Roman" w:eastAsia="仿宋_GB2312" w:cs="仿宋_GB2312"/>
          <w:color w:val="000000"/>
          <w:sz w:val="32"/>
          <w:szCs w:val="32"/>
        </w:rPr>
        <w:t>；项目支出</w:t>
      </w:r>
      <w:r>
        <w:rPr>
          <w:rFonts w:hint="eastAsia" w:ascii="Times New Roman" w:hAnsi="Times New Roman" w:eastAsia="仿宋_GB2312" w:cs="Arial"/>
          <w:color w:val="000000"/>
          <w:sz w:val="32"/>
          <w:szCs w:val="32"/>
        </w:rPr>
        <w:t>1436.61</w:t>
      </w:r>
      <w:r>
        <w:rPr>
          <w:rFonts w:hint="eastAsia" w:ascii="Times New Roman" w:hAnsi="Times New Roman" w:eastAsia="仿宋_GB2312" w:cs="仿宋_GB2312"/>
          <w:color w:val="000000"/>
          <w:sz w:val="32"/>
          <w:szCs w:val="32"/>
        </w:rPr>
        <w:t>万元，占</w:t>
      </w:r>
      <w:r>
        <w:rPr>
          <w:rFonts w:hint="eastAsia" w:ascii="Times New Roman" w:hAnsi="Times New Roman" w:eastAsia="仿宋_GB2312" w:cs="Arial"/>
          <w:color w:val="000000"/>
          <w:sz w:val="32"/>
          <w:szCs w:val="32"/>
        </w:rPr>
        <w:t>88.58</w:t>
      </w:r>
      <w:r>
        <w:rPr>
          <w:rFonts w:hint="eastAsia" w:ascii="Times New Roman" w:hAnsi="Times New Roman" w:eastAsia="仿宋_GB2312" w:cs="仿宋_GB2312"/>
          <w:color w:val="000000"/>
          <w:sz w:val="32"/>
          <w:szCs w:val="32"/>
        </w:rPr>
        <w:t xml:space="preserve">%。 </w:t>
      </w:r>
    </w:p>
    <w:p>
      <w:pPr>
        <w:overflowPunct w:val="0"/>
        <w:autoSpaceDE w:val="0"/>
        <w:autoSpaceDN w:val="0"/>
        <w:adjustRightInd w:val="0"/>
        <w:snapToGrid w:val="0"/>
        <w:spacing w:line="574" w:lineRule="exact"/>
        <w:ind w:firstLine="640" w:firstLineChars="200"/>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四、财政拨款收入支出预算总体情况说明</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2022年一般公共预算收支预算</w:t>
      </w:r>
      <w:r>
        <w:rPr>
          <w:rFonts w:hint="eastAsia" w:ascii="Times New Roman" w:hAnsi="Times New Roman" w:eastAsia="仿宋_GB2312" w:cs="Arial"/>
          <w:color w:val="000000"/>
          <w:sz w:val="32"/>
          <w:szCs w:val="32"/>
        </w:rPr>
        <w:t>725.56</w:t>
      </w:r>
      <w:r>
        <w:rPr>
          <w:rFonts w:hint="eastAsia" w:ascii="Times New Roman" w:hAnsi="Times New Roman" w:eastAsia="仿宋_GB2312" w:cs="仿宋_GB2312"/>
          <w:color w:val="000000"/>
          <w:sz w:val="32"/>
          <w:szCs w:val="32"/>
        </w:rPr>
        <w:t>万元，政府性基金收支预算</w:t>
      </w:r>
      <w:r>
        <w:rPr>
          <w:rFonts w:hint="eastAsia" w:ascii="Times New Roman" w:hAnsi="Times New Roman" w:eastAsia="仿宋_GB2312" w:cs="Arial"/>
          <w:color w:val="000000"/>
          <w:sz w:val="32"/>
          <w:szCs w:val="32"/>
        </w:rPr>
        <w:t>896.05万元</w:t>
      </w:r>
      <w:r>
        <w:rPr>
          <w:rFonts w:hint="eastAsia" w:ascii="Times New Roman" w:hAnsi="Times New Roman" w:eastAsia="仿宋_GB2312" w:cs="Arial"/>
          <w:color w:val="000000"/>
          <w:sz w:val="32"/>
          <w:szCs w:val="32"/>
          <w:lang w:eastAsia="zh-CN"/>
        </w:rPr>
        <w:t>。</w:t>
      </w:r>
      <w:r>
        <w:rPr>
          <w:rFonts w:hint="eastAsia" w:ascii="Times New Roman" w:hAnsi="Times New Roman" w:eastAsia="仿宋_GB2312" w:cs="仿宋_GB2312"/>
          <w:color w:val="000000"/>
          <w:sz w:val="32"/>
          <w:szCs w:val="32"/>
        </w:rPr>
        <w:t>与</w:t>
      </w:r>
      <w:r>
        <w:rPr>
          <w:rFonts w:hint="eastAsia" w:ascii="Times New Roman" w:hAnsi="Times New Roman" w:eastAsia="仿宋_GB2312" w:cs="仿宋_GB2312"/>
          <w:color w:val="000000"/>
          <w:sz w:val="32"/>
          <w:szCs w:val="32"/>
          <w:lang w:eastAsia="zh-CN"/>
        </w:rPr>
        <w:t>上年度</w:t>
      </w:r>
      <w:r>
        <w:rPr>
          <w:rFonts w:hint="eastAsia" w:ascii="Times New Roman" w:hAnsi="Times New Roman" w:eastAsia="仿宋_GB2312" w:cs="仿宋_GB2312"/>
          <w:color w:val="000000"/>
          <w:sz w:val="32"/>
          <w:szCs w:val="32"/>
        </w:rPr>
        <w:t>年相比，一般公共预算收支预算减少423.91万元，下降36.88%，主要原因：城区绿化工程款减少</w:t>
      </w:r>
      <w:r>
        <w:rPr>
          <w:rFonts w:hint="eastAsia" w:ascii="Times New Roman" w:hAnsi="Times New Roman" w:eastAsia="仿宋_GB2312" w:cs="Arial"/>
          <w:color w:val="000000"/>
          <w:sz w:val="32"/>
          <w:szCs w:val="32"/>
        </w:rPr>
        <w:t>；</w:t>
      </w:r>
      <w:r>
        <w:rPr>
          <w:rFonts w:hint="eastAsia" w:ascii="Times New Roman" w:hAnsi="Times New Roman" w:eastAsia="仿宋_GB2312" w:cs="仿宋_GB2312"/>
          <w:color w:val="000000"/>
          <w:sz w:val="32"/>
          <w:szCs w:val="32"/>
        </w:rPr>
        <w:t>政府性基金收支预算增加796.05</w:t>
      </w:r>
      <w:r>
        <w:rPr>
          <w:rFonts w:hint="eastAsia" w:ascii="Times New Roman" w:hAnsi="Times New Roman" w:eastAsia="仿宋_GB2312" w:cs="Arial"/>
          <w:color w:val="000000"/>
          <w:sz w:val="32"/>
          <w:szCs w:val="32"/>
        </w:rPr>
        <w:t>万元，增长</w:t>
      </w:r>
      <w:r>
        <w:rPr>
          <w:rFonts w:hint="eastAsia" w:ascii="Times New Roman" w:hAnsi="Times New Roman" w:eastAsia="仿宋_GB2312" w:cs="Arial"/>
          <w:color w:val="000000"/>
          <w:sz w:val="32"/>
          <w:szCs w:val="32"/>
          <w:highlight w:val="none"/>
        </w:rPr>
        <w:t>796.05</w:t>
      </w:r>
      <w:r>
        <w:rPr>
          <w:rFonts w:hint="eastAsia" w:ascii="Times New Roman" w:hAnsi="Times New Roman" w:eastAsia="仿宋_GB2312" w:cs="仿宋_GB2312"/>
          <w:color w:val="000000"/>
          <w:sz w:val="32"/>
          <w:szCs w:val="32"/>
          <w:highlight w:val="none"/>
        </w:rPr>
        <w:t>%</w:t>
      </w:r>
      <w:r>
        <w:rPr>
          <w:rFonts w:hint="eastAsia" w:ascii="Times New Roman" w:hAnsi="Times New Roman" w:eastAsia="仿宋_GB2312" w:cs="Arial"/>
          <w:color w:val="000000"/>
          <w:sz w:val="32"/>
          <w:szCs w:val="32"/>
          <w:highlight w:val="none"/>
        </w:rPr>
        <w:t>，</w:t>
      </w:r>
      <w:r>
        <w:rPr>
          <w:rFonts w:hint="eastAsia" w:ascii="Times New Roman" w:hAnsi="Times New Roman" w:eastAsia="仿宋_GB2312" w:cs="仿宋_GB2312"/>
          <w:color w:val="000000"/>
          <w:sz w:val="32"/>
          <w:szCs w:val="32"/>
        </w:rPr>
        <w:t>主要原因：</w:t>
      </w:r>
      <w:r>
        <w:rPr>
          <w:rFonts w:hint="eastAsia" w:ascii="Times New Roman" w:hAnsi="Times New Roman" w:eastAsia="仿宋_GB2312" w:cs="Arial"/>
          <w:color w:val="000000"/>
          <w:sz w:val="32"/>
          <w:szCs w:val="32"/>
        </w:rPr>
        <w:t>城区绿化工程项目和租赁费增加。</w:t>
      </w:r>
    </w:p>
    <w:p>
      <w:pPr>
        <w:overflowPunct w:val="0"/>
        <w:autoSpaceDE w:val="0"/>
        <w:autoSpaceDN w:val="0"/>
        <w:adjustRightInd w:val="0"/>
        <w:snapToGrid w:val="0"/>
        <w:spacing w:line="574" w:lineRule="exact"/>
        <w:ind w:firstLine="640" w:firstLineChars="200"/>
        <w:outlineLvl w:val="0"/>
        <w:rPr>
          <w:rFonts w:ascii="Times New Roman" w:hAnsi="Times New Roman" w:eastAsia="黑体"/>
          <w:color w:val="000000"/>
          <w:sz w:val="32"/>
          <w:szCs w:val="32"/>
        </w:rPr>
      </w:pPr>
      <w:r>
        <w:rPr>
          <w:rFonts w:hint="eastAsia" w:ascii="Times New Roman" w:hAnsi="Times New Roman" w:eastAsia="黑体"/>
          <w:color w:val="000000"/>
          <w:sz w:val="32"/>
          <w:szCs w:val="32"/>
        </w:rPr>
        <w:t>五、一般公共预算支出预算情况说明</w:t>
      </w:r>
    </w:p>
    <w:p>
      <w:pPr>
        <w:overflowPunct w:val="0"/>
        <w:autoSpaceDE w:val="0"/>
        <w:autoSpaceDN w:val="0"/>
        <w:adjustRightInd w:val="0"/>
        <w:snapToGrid w:val="0"/>
        <w:spacing w:line="574" w:lineRule="exact"/>
        <w:ind w:firstLine="622"/>
        <w:rPr>
          <w:rFonts w:ascii="Times New Roman" w:hAnsi="Times New Roman" w:eastAsia="仿宋_GB2312" w:cs="仿宋_GB2312"/>
          <w:color w:val="000000"/>
          <w:spacing w:val="6"/>
          <w:kern w:val="0"/>
          <w:sz w:val="32"/>
          <w:szCs w:val="32"/>
        </w:rPr>
      </w:pPr>
      <w:r>
        <w:rPr>
          <w:rFonts w:hint="eastAsia" w:ascii="Times New Roman" w:hAnsi="Times New Roman" w:eastAsia="仿宋_GB2312" w:cs="仿宋_GB2312"/>
          <w:color w:val="000000"/>
          <w:sz w:val="32"/>
          <w:szCs w:val="32"/>
        </w:rPr>
        <w:t>2022年一般公共预算支出年初预算为</w:t>
      </w:r>
      <w:r>
        <w:rPr>
          <w:rFonts w:hint="eastAsia" w:ascii="Times New Roman" w:hAnsi="Times New Roman" w:eastAsia="仿宋_GB2312" w:cs="Arial"/>
          <w:color w:val="000000"/>
          <w:sz w:val="32"/>
          <w:szCs w:val="32"/>
        </w:rPr>
        <w:t>725.56</w:t>
      </w:r>
      <w:r>
        <w:rPr>
          <w:rFonts w:hint="eastAsia" w:ascii="Times New Roman" w:hAnsi="Times New Roman" w:eastAsia="仿宋_GB2312" w:cs="仿宋_GB2312"/>
          <w:color w:val="000000"/>
          <w:sz w:val="32"/>
          <w:szCs w:val="32"/>
        </w:rPr>
        <w:t>万元。</w:t>
      </w:r>
      <w:r>
        <w:rPr>
          <w:rFonts w:hint="eastAsia" w:ascii="Times New Roman" w:hAnsi="Times New Roman" w:eastAsia="仿宋_GB2312" w:cs="仿宋_GB2312"/>
          <w:color w:val="000000"/>
          <w:sz w:val="32"/>
          <w:szCs w:val="32"/>
          <w:lang w:eastAsia="zh-CN"/>
        </w:rPr>
        <w:t>其中本年支出</w:t>
      </w:r>
      <w:r>
        <w:rPr>
          <w:rFonts w:hint="eastAsia" w:ascii="Times New Roman" w:hAnsi="Times New Roman" w:eastAsia="仿宋_GB2312" w:cs="仿宋_GB2312"/>
          <w:color w:val="000000"/>
          <w:sz w:val="32"/>
          <w:szCs w:val="32"/>
        </w:rPr>
        <w:t>主要用于以下方面：</w:t>
      </w:r>
      <w:r>
        <w:rPr>
          <w:rFonts w:hint="eastAsia" w:ascii="Times New Roman" w:hAnsi="Times New Roman" w:eastAsia="仿宋_GB2312" w:cs="仿宋_GB2312"/>
          <w:color w:val="000000"/>
          <w:spacing w:val="6"/>
          <w:kern w:val="0"/>
          <w:sz w:val="32"/>
          <w:szCs w:val="32"/>
        </w:rPr>
        <w:t>社会保障和就业支出20.96万元，占</w:t>
      </w:r>
      <w:r>
        <w:rPr>
          <w:rFonts w:hint="eastAsia" w:ascii="Times New Roman" w:hAnsi="Times New Roman" w:eastAsia="仿宋_GB2312" w:cs="仿宋_GB2312"/>
          <w:color w:val="000000"/>
          <w:spacing w:val="6"/>
          <w:kern w:val="0"/>
          <w:sz w:val="32"/>
          <w:szCs w:val="32"/>
          <w:lang w:val="en-US" w:eastAsia="zh-CN"/>
        </w:rPr>
        <w:t>2.89</w:t>
      </w:r>
      <w:r>
        <w:rPr>
          <w:rFonts w:hint="eastAsia" w:ascii="Times New Roman" w:hAnsi="Times New Roman" w:eastAsia="仿宋_GB2312" w:cs="仿宋_GB2312"/>
          <w:color w:val="000000"/>
          <w:spacing w:val="6"/>
          <w:kern w:val="0"/>
          <w:sz w:val="32"/>
          <w:szCs w:val="32"/>
        </w:rPr>
        <w:t>%；卫生健康支出8.84万元，占1</w:t>
      </w:r>
      <w:r>
        <w:rPr>
          <w:rFonts w:hint="eastAsia" w:ascii="Times New Roman" w:hAnsi="Times New Roman" w:eastAsia="仿宋_GB2312" w:cs="仿宋_GB2312"/>
          <w:color w:val="000000"/>
          <w:spacing w:val="6"/>
          <w:kern w:val="0"/>
          <w:sz w:val="32"/>
          <w:szCs w:val="32"/>
          <w:lang w:val="en-US" w:eastAsia="zh-CN"/>
        </w:rPr>
        <w:t>.22</w:t>
      </w:r>
      <w:r>
        <w:rPr>
          <w:rFonts w:hint="eastAsia" w:ascii="Times New Roman" w:hAnsi="Times New Roman" w:eastAsia="仿宋_GB2312" w:cs="仿宋_GB2312"/>
          <w:color w:val="000000"/>
          <w:spacing w:val="6"/>
          <w:kern w:val="0"/>
          <w:sz w:val="32"/>
          <w:szCs w:val="32"/>
        </w:rPr>
        <w:t>%；城乡社区事务支出395.92万元，占</w:t>
      </w:r>
      <w:r>
        <w:rPr>
          <w:rFonts w:hint="eastAsia" w:ascii="Times New Roman" w:hAnsi="Times New Roman" w:eastAsia="仿宋_GB2312" w:cs="仿宋_GB2312"/>
          <w:color w:val="000000"/>
          <w:spacing w:val="6"/>
          <w:kern w:val="0"/>
          <w:sz w:val="32"/>
          <w:szCs w:val="32"/>
          <w:lang w:val="en-US" w:eastAsia="zh-CN"/>
        </w:rPr>
        <w:t>54.57</w:t>
      </w:r>
      <w:r>
        <w:rPr>
          <w:rFonts w:hint="eastAsia" w:ascii="Times New Roman" w:hAnsi="Times New Roman" w:eastAsia="仿宋_GB2312" w:cs="仿宋_GB2312"/>
          <w:color w:val="000000"/>
          <w:spacing w:val="6"/>
          <w:kern w:val="0"/>
          <w:sz w:val="32"/>
          <w:szCs w:val="32"/>
        </w:rPr>
        <w:t>%；住房保障支出13.77万元，占</w:t>
      </w:r>
      <w:r>
        <w:rPr>
          <w:rFonts w:hint="eastAsia" w:ascii="Times New Roman" w:hAnsi="Times New Roman" w:eastAsia="仿宋_GB2312" w:cs="仿宋_GB2312"/>
          <w:color w:val="000000"/>
          <w:spacing w:val="6"/>
          <w:kern w:val="0"/>
          <w:sz w:val="32"/>
          <w:szCs w:val="32"/>
          <w:lang w:val="en-US" w:eastAsia="zh-CN"/>
        </w:rPr>
        <w:t>1.90</w:t>
      </w:r>
      <w:r>
        <w:rPr>
          <w:rFonts w:hint="eastAsia" w:ascii="Times New Roman" w:hAnsi="Times New Roman" w:eastAsia="仿宋_GB2312" w:cs="仿宋_GB2312"/>
          <w:color w:val="000000"/>
          <w:spacing w:val="6"/>
          <w:kern w:val="0"/>
          <w:sz w:val="32"/>
          <w:szCs w:val="32"/>
        </w:rPr>
        <w:t>%。上年结转286.07万元，共占</w:t>
      </w:r>
      <w:r>
        <w:rPr>
          <w:rFonts w:hint="eastAsia" w:ascii="Times New Roman" w:hAnsi="Times New Roman" w:eastAsia="仿宋_GB2312" w:cs="仿宋_GB2312"/>
          <w:color w:val="000000"/>
          <w:spacing w:val="6"/>
          <w:kern w:val="0"/>
          <w:sz w:val="32"/>
          <w:szCs w:val="32"/>
          <w:lang w:val="en-US" w:eastAsia="zh-CN"/>
        </w:rPr>
        <w:t>39.43</w:t>
      </w:r>
      <w:r>
        <w:rPr>
          <w:rFonts w:hint="eastAsia" w:ascii="Times New Roman" w:hAnsi="Times New Roman" w:eastAsia="仿宋_GB2312" w:cs="仿宋_GB2312"/>
          <w:color w:val="000000"/>
          <w:spacing w:val="6"/>
          <w:kern w:val="0"/>
          <w:sz w:val="32"/>
          <w:szCs w:val="32"/>
        </w:rPr>
        <w:t>%。</w:t>
      </w:r>
    </w:p>
    <w:p>
      <w:pPr>
        <w:overflowPunct w:val="0"/>
        <w:autoSpaceDE w:val="0"/>
        <w:autoSpaceDN w:val="0"/>
        <w:adjustRightInd w:val="0"/>
        <w:snapToGrid w:val="0"/>
        <w:spacing w:line="574" w:lineRule="exact"/>
        <w:ind w:firstLine="640" w:firstLineChars="200"/>
        <w:outlineLvl w:val="0"/>
        <w:rPr>
          <w:rFonts w:ascii="Times New Roman" w:hAnsi="Times New Roman" w:eastAsia="黑体"/>
          <w:sz w:val="32"/>
          <w:szCs w:val="32"/>
        </w:rPr>
      </w:pPr>
      <w:r>
        <w:rPr>
          <w:rFonts w:hint="eastAsia" w:ascii="Times New Roman" w:hAnsi="Times New Roman" w:eastAsia="黑体"/>
          <w:color w:val="000000"/>
          <w:kern w:val="0"/>
          <w:sz w:val="32"/>
          <w:szCs w:val="32"/>
        </w:rPr>
        <w:t>六、一般公共预算基本支出预算情况说明</w:t>
      </w:r>
    </w:p>
    <w:p>
      <w:pPr>
        <w:overflowPunct w:val="0"/>
        <w:autoSpaceDE w:val="0"/>
        <w:autoSpaceDN w:val="0"/>
        <w:adjustRightInd w:val="0"/>
        <w:snapToGrid w:val="0"/>
        <w:spacing w:line="574" w:lineRule="exact"/>
        <w:ind w:firstLine="622"/>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sz w:val="32"/>
          <w:szCs w:val="32"/>
        </w:rPr>
        <w:t>2022年一般公共预算基本支出</w:t>
      </w:r>
      <w:r>
        <w:rPr>
          <w:rFonts w:hint="eastAsia" w:ascii="Times New Roman" w:hAnsi="Times New Roman" w:eastAsia="仿宋_GB2312" w:cs="仿宋_GB2312"/>
          <w:color w:val="000000"/>
          <w:kern w:val="0"/>
          <w:sz w:val="32"/>
          <w:szCs w:val="32"/>
        </w:rPr>
        <w:t>185</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sz w:val="32"/>
          <w:szCs w:val="32"/>
        </w:rPr>
        <w:t>万元，其中：</w:t>
      </w:r>
      <w:r>
        <w:rPr>
          <w:rFonts w:hint="eastAsia" w:ascii="Times New Roman" w:hAnsi="Times New Roman" w:eastAsia="仿宋_GB2312" w:cs="仿宋_GB2312"/>
          <w:b/>
          <w:color w:val="000000"/>
          <w:spacing w:val="-1"/>
          <w:kern w:val="0"/>
          <w:sz w:val="32"/>
          <w:szCs w:val="32"/>
        </w:rPr>
        <w:t>人员经费</w:t>
      </w:r>
      <w:r>
        <w:rPr>
          <w:rFonts w:hint="eastAsia" w:ascii="Times New Roman" w:hAnsi="Times New Roman" w:eastAsia="仿宋_GB2312" w:cs="仿宋_GB2312"/>
          <w:b/>
          <w:color w:val="000000"/>
          <w:kern w:val="0"/>
          <w:sz w:val="32"/>
          <w:szCs w:val="32"/>
        </w:rPr>
        <w:t>172.66</w:t>
      </w:r>
      <w:r>
        <w:rPr>
          <w:rFonts w:hint="eastAsia" w:ascii="Times New Roman" w:hAnsi="Times New Roman" w:eastAsia="仿宋_GB2312" w:cs="仿宋_GB2312"/>
          <w:b/>
          <w:color w:val="000000"/>
          <w:sz w:val="32"/>
          <w:szCs w:val="32"/>
        </w:rPr>
        <w:t>万元</w:t>
      </w:r>
      <w:r>
        <w:rPr>
          <w:rFonts w:hint="eastAsia" w:ascii="Times New Roman" w:hAnsi="Times New Roman" w:eastAsia="仿宋_GB2312" w:cs="仿宋_GB2312"/>
          <w:color w:val="000000"/>
          <w:sz w:val="32"/>
          <w:szCs w:val="32"/>
        </w:rPr>
        <w:t>，主要包括：</w:t>
      </w:r>
      <w:r>
        <w:rPr>
          <w:rFonts w:hint="eastAsia" w:ascii="Times New Roman" w:hAnsi="Times New Roman" w:eastAsia="仿宋_GB2312" w:cs="仿宋_GB2312"/>
          <w:color w:val="000000"/>
          <w:kern w:val="0"/>
          <w:sz w:val="32"/>
          <w:szCs w:val="32"/>
        </w:rPr>
        <w:t>基本工资、津贴补贴、奖金、绩效工资、机关事业单位基本养老保险缴费、职业年金缴费、医疗保险缴费、其他社会保障缴费、住房公积金、其他工资福利支出、离休费、退休费、其他对个人和家庭的补助支出；</w:t>
      </w:r>
      <w:r>
        <w:rPr>
          <w:rFonts w:hint="eastAsia" w:ascii="Times New Roman" w:hAnsi="Times New Roman" w:eastAsia="仿宋_GB2312" w:cs="仿宋_GB2312"/>
          <w:b/>
          <w:bCs/>
          <w:color w:val="000000"/>
          <w:kern w:val="0"/>
          <w:sz w:val="32"/>
          <w:szCs w:val="32"/>
        </w:rPr>
        <w:t>公用经费12.34万元</w:t>
      </w:r>
      <w:r>
        <w:rPr>
          <w:rFonts w:hint="eastAsia" w:ascii="Times New Roman" w:hAnsi="Times New Roman" w:eastAsia="仿宋_GB2312" w:cs="仿宋_GB2312"/>
          <w:color w:val="000000"/>
          <w:kern w:val="0"/>
          <w:sz w:val="32"/>
          <w:szCs w:val="32"/>
        </w:rPr>
        <w:t>，主要包括：办公费、水费、电费、邮电费、取暖费、差旅费、维修（护）费、专用材料费、劳务费、委托业务费、福利费、其他交通费用、其他商品和服务支出、办公设备购置、专用设备购置、其他资本性支出和其他支出。</w:t>
      </w:r>
    </w:p>
    <w:p>
      <w:pPr>
        <w:overflowPunct w:val="0"/>
        <w:autoSpaceDE w:val="0"/>
        <w:autoSpaceDN w:val="0"/>
        <w:adjustRightInd w:val="0"/>
        <w:snapToGrid w:val="0"/>
        <w:spacing w:line="574" w:lineRule="exact"/>
        <w:ind w:firstLine="640" w:firstLineChars="200"/>
        <w:outlineLvl w:val="0"/>
        <w:rPr>
          <w:rFonts w:ascii="Times New Roman" w:hAnsi="Times New Roman" w:eastAsia="仿宋_GB2312" w:cs="仿宋_GB2312"/>
          <w:color w:val="000000"/>
          <w:sz w:val="32"/>
          <w:szCs w:val="32"/>
        </w:rPr>
      </w:pPr>
      <w:r>
        <w:rPr>
          <w:rFonts w:hint="eastAsia" w:ascii="Times New Roman" w:hAnsi="Times New Roman" w:eastAsia="黑体"/>
          <w:color w:val="000000"/>
          <w:kern w:val="0"/>
          <w:sz w:val="32"/>
          <w:szCs w:val="32"/>
        </w:rPr>
        <w:t>七、政府性基金预算支出预算情况说明</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kern w:val="0"/>
          <w:sz w:val="32"/>
          <w:szCs w:val="32"/>
        </w:rPr>
        <w:t>2022年政府性基金预算支出896.05万元</w:t>
      </w:r>
      <w:r>
        <w:rPr>
          <w:rFonts w:hint="eastAsia" w:ascii="Times New Roman" w:hAnsi="Times New Roman" w:eastAsia="仿宋_GB2312" w:cs="仿宋_GB2312"/>
          <w:b/>
          <w:color w:val="000000"/>
          <w:kern w:val="0"/>
          <w:sz w:val="32"/>
          <w:szCs w:val="32"/>
          <w:lang w:eastAsia="zh-CN"/>
        </w:rPr>
        <w:t>，</w:t>
      </w:r>
      <w:r>
        <w:rPr>
          <w:rFonts w:hint="eastAsia" w:ascii="Times New Roman" w:hAnsi="Times New Roman" w:eastAsia="仿宋_GB2312" w:cs="仿宋_GB2312"/>
          <w:color w:val="000000"/>
          <w:kern w:val="0"/>
          <w:sz w:val="32"/>
          <w:szCs w:val="32"/>
        </w:rPr>
        <w:t>用于</w:t>
      </w:r>
      <w:r>
        <w:rPr>
          <w:rFonts w:hint="eastAsia" w:ascii="Times New Roman" w:hAnsi="Times New Roman" w:eastAsia="仿宋_GB2312" w:cs="Arial"/>
          <w:color w:val="000000"/>
          <w:sz w:val="32"/>
          <w:szCs w:val="32"/>
        </w:rPr>
        <w:t>城区绿化工程项目和租赁费。</w:t>
      </w:r>
    </w:p>
    <w:p>
      <w:pPr>
        <w:overflowPunct w:val="0"/>
        <w:autoSpaceDE w:val="0"/>
        <w:autoSpaceDN w:val="0"/>
        <w:adjustRightInd w:val="0"/>
        <w:snapToGrid w:val="0"/>
        <w:spacing w:line="574" w:lineRule="exact"/>
        <w:ind w:firstLine="640" w:firstLineChars="200"/>
        <w:rPr>
          <w:rFonts w:ascii="Times New Roman" w:hAnsi="Times New Roman" w:eastAsia="黑体"/>
          <w:color w:val="000000"/>
          <w:kern w:val="0"/>
          <w:sz w:val="32"/>
          <w:szCs w:val="32"/>
        </w:rPr>
      </w:pPr>
      <w:r>
        <w:rPr>
          <w:rFonts w:hint="eastAsia" w:ascii="Times New Roman" w:hAnsi="Times New Roman" w:eastAsia="黑体"/>
          <w:color w:val="000000"/>
          <w:sz w:val="32"/>
          <w:szCs w:val="32"/>
        </w:rPr>
        <w:t>八、</w:t>
      </w:r>
      <w:r>
        <w:rPr>
          <w:rFonts w:hint="eastAsia" w:ascii="Times New Roman" w:hAnsi="Times New Roman" w:eastAsia="黑体"/>
          <w:color w:val="000000"/>
          <w:kern w:val="0"/>
          <w:sz w:val="32"/>
          <w:szCs w:val="32"/>
        </w:rPr>
        <w:t>国有资本经营预算支出预算情况说明</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我单位2022年没有使用国有资本经营预算拨款安排的支出。</w:t>
      </w:r>
    </w:p>
    <w:p>
      <w:pPr>
        <w:overflowPunct w:val="0"/>
        <w:autoSpaceDE w:val="0"/>
        <w:autoSpaceDN w:val="0"/>
        <w:adjustRightInd w:val="0"/>
        <w:snapToGrid w:val="0"/>
        <w:spacing w:line="574" w:lineRule="exact"/>
        <w:ind w:firstLine="640" w:firstLineChars="200"/>
        <w:outlineLvl w:val="0"/>
        <w:rPr>
          <w:rFonts w:ascii="Times New Roman" w:hAnsi="Times New Roman" w:eastAsia="黑体"/>
          <w:color w:val="000000"/>
          <w:sz w:val="32"/>
          <w:szCs w:val="32"/>
        </w:rPr>
      </w:pPr>
      <w:r>
        <w:rPr>
          <w:rFonts w:hint="eastAsia" w:ascii="Times New Roman" w:hAnsi="Times New Roman" w:eastAsia="黑体"/>
          <w:color w:val="000000"/>
          <w:kern w:val="0"/>
          <w:sz w:val="32"/>
          <w:szCs w:val="32"/>
        </w:rPr>
        <w:t>九、“三公”经费支出预算情况说明</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2022年“三公”经费支出预算为</w:t>
      </w:r>
      <w:r>
        <w:rPr>
          <w:rFonts w:hint="eastAsia" w:ascii="Times New Roman" w:hAnsi="Times New Roman" w:eastAsia="仿宋_GB2312" w:cs="仿宋_GB2312"/>
          <w:color w:val="000000"/>
          <w:kern w:val="0"/>
          <w:sz w:val="32"/>
          <w:szCs w:val="32"/>
        </w:rPr>
        <w:t>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sz w:val="32"/>
          <w:szCs w:val="32"/>
        </w:rPr>
        <w:t>万元，比</w:t>
      </w:r>
      <w:r>
        <w:rPr>
          <w:rFonts w:hint="eastAsia" w:ascii="Times New Roman" w:hAnsi="Times New Roman" w:eastAsia="仿宋_GB2312" w:cs="仿宋_GB2312"/>
          <w:color w:val="000000"/>
          <w:sz w:val="32"/>
          <w:szCs w:val="32"/>
          <w:lang w:eastAsia="zh-CN"/>
        </w:rPr>
        <w:t>上</w:t>
      </w:r>
      <w:r>
        <w:rPr>
          <w:rFonts w:hint="eastAsia" w:ascii="Times New Roman" w:hAnsi="Times New Roman" w:eastAsia="仿宋_GB2312" w:cs="仿宋_GB2312"/>
          <w:color w:val="000000"/>
          <w:sz w:val="32"/>
          <w:szCs w:val="32"/>
        </w:rPr>
        <w:t>年预算数减少0</w:t>
      </w:r>
      <w:r>
        <w:rPr>
          <w:rFonts w:hint="eastAsia" w:ascii="Times New Roman" w:hAnsi="Times New Roman" w:eastAsia="仿宋_GB2312" w:cs="仿宋_GB2312"/>
          <w:color w:val="000000"/>
          <w:sz w:val="32"/>
          <w:szCs w:val="32"/>
          <w:lang w:val="en-US" w:eastAsia="zh-CN"/>
        </w:rPr>
        <w:t>.00</w:t>
      </w:r>
      <w:r>
        <w:rPr>
          <w:rFonts w:hint="eastAsia" w:ascii="Times New Roman" w:hAnsi="Times New Roman" w:eastAsia="仿宋_GB2312" w:cs="仿宋_GB2312"/>
          <w:color w:val="000000"/>
          <w:sz w:val="32"/>
          <w:szCs w:val="32"/>
        </w:rPr>
        <w:t>万元，下降0</w:t>
      </w:r>
      <w:r>
        <w:rPr>
          <w:rFonts w:hint="eastAsia" w:ascii="Times New Roman" w:hAnsi="Times New Roman" w:eastAsia="仿宋_GB2312" w:cs="仿宋_GB2312"/>
          <w:color w:val="000000"/>
          <w:sz w:val="32"/>
          <w:szCs w:val="32"/>
          <w:lang w:val="en-US" w:eastAsia="zh-CN"/>
        </w:rPr>
        <w:t>.00</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sz w:val="32"/>
          <w:szCs w:val="32"/>
        </w:rPr>
        <w:t>。</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具体支出情况如下：</w:t>
      </w:r>
    </w:p>
    <w:p>
      <w:pPr>
        <w:numPr>
          <w:ilvl w:val="0"/>
          <w:numId w:val="2"/>
        </w:numPr>
        <w:kinsoku w:val="0"/>
        <w:overflowPunct w:val="0"/>
        <w:autoSpaceDE w:val="0"/>
        <w:autoSpaceDN w:val="0"/>
        <w:adjustRightInd w:val="0"/>
        <w:snapToGrid w:val="0"/>
        <w:spacing w:line="580" w:lineRule="exact"/>
        <w:ind w:firstLine="636" w:firstLineChars="200"/>
        <w:rPr>
          <w:rFonts w:hint="eastAsia" w:ascii="Times New Roman" w:hAnsi="Times New Roman" w:eastAsia="仿宋_GB2312" w:cs="仿宋_GB2312"/>
          <w:color w:val="000000"/>
          <w:sz w:val="32"/>
          <w:szCs w:val="32"/>
        </w:rPr>
      </w:pPr>
      <w:r>
        <w:rPr>
          <w:rFonts w:hint="eastAsia" w:ascii="Times New Roman" w:hAnsi="Times New Roman" w:eastAsia="楷体_GB2312" w:cs="仿宋_GB2312"/>
          <w:color w:val="000000"/>
          <w:spacing w:val="-1"/>
          <w:kern w:val="0"/>
          <w:sz w:val="32"/>
          <w:szCs w:val="32"/>
        </w:rPr>
        <w:t>因公出国（境）费</w:t>
      </w:r>
      <w:r>
        <w:rPr>
          <w:rFonts w:hint="eastAsia" w:ascii="Times New Roman" w:hAnsi="Times New Roman" w:eastAsia="楷体_GB2312" w:cs="仿宋_GB2312"/>
          <w:color w:val="000000"/>
          <w:spacing w:val="-1"/>
          <w:kern w:val="0"/>
          <w:sz w:val="32"/>
          <w:szCs w:val="32"/>
          <w:lang w:val="en-US" w:eastAsia="zh-CN"/>
        </w:rPr>
        <w:t xml:space="preserve"> </w:t>
      </w:r>
      <w:r>
        <w:rPr>
          <w:rFonts w:hint="eastAsia" w:ascii="Times New Roman" w:hAnsi="Times New Roman" w:eastAsia="仿宋_GB2312" w:cs="仿宋_GB2312"/>
          <w:color w:val="000000"/>
          <w:kern w:val="0"/>
          <w:sz w:val="32"/>
          <w:szCs w:val="32"/>
        </w:rPr>
        <w:t>0</w:t>
      </w:r>
      <w:r>
        <w:rPr>
          <w:rFonts w:hint="eastAsia" w:ascii="Times New Roman" w:hAnsi="Times New Roman" w:eastAsia="仿宋_GB2312" w:cs="仿宋_GB2312"/>
          <w:color w:val="000000"/>
          <w:kern w:val="0"/>
          <w:sz w:val="32"/>
          <w:szCs w:val="32"/>
          <w:lang w:val="en-US" w:eastAsia="zh-CN"/>
        </w:rPr>
        <w:t>.00</w:t>
      </w:r>
      <w:r>
        <w:rPr>
          <w:rFonts w:hint="eastAsia" w:ascii="楷体_GB2312" w:hAnsi="楷体_GB2312" w:eastAsia="楷体_GB2312" w:cs="楷体_GB2312"/>
          <w:color w:val="000000"/>
          <w:sz w:val="32"/>
          <w:szCs w:val="32"/>
        </w:rPr>
        <w:t>万元</w:t>
      </w:r>
      <w:r>
        <w:rPr>
          <w:rFonts w:hint="eastAsia" w:ascii="Times New Roman" w:hAnsi="Times New Roman" w:eastAsia="仿宋_GB2312" w:cs="仿宋_GB2312"/>
          <w:color w:val="000000"/>
          <w:sz w:val="32"/>
          <w:szCs w:val="32"/>
        </w:rPr>
        <w:t>。主要用于单位工作人员公务出国（境）的住宿费、旅费、伙食补助费、杂费、培训费等支出</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rPr>
        <w:t>比</w:t>
      </w:r>
      <w:r>
        <w:rPr>
          <w:rFonts w:hint="eastAsia" w:ascii="Times New Roman" w:hAnsi="Times New Roman" w:eastAsia="仿宋_GB2312" w:cs="仿宋_GB2312"/>
          <w:color w:val="000000"/>
          <w:sz w:val="32"/>
          <w:szCs w:val="32"/>
          <w:lang w:eastAsia="zh-CN"/>
        </w:rPr>
        <w:t>上</w:t>
      </w:r>
      <w:r>
        <w:rPr>
          <w:rFonts w:hint="eastAsia" w:ascii="Times New Roman" w:hAnsi="Times New Roman" w:eastAsia="仿宋_GB2312" w:cs="仿宋_GB2312"/>
          <w:color w:val="000000"/>
          <w:sz w:val="32"/>
          <w:szCs w:val="32"/>
        </w:rPr>
        <w:t>年</w:t>
      </w:r>
      <w:r>
        <w:rPr>
          <w:rFonts w:hint="eastAsia" w:ascii="Times New Roman" w:hAnsi="Times New Roman" w:eastAsia="仿宋_GB2312" w:cs="仿宋_GB2312"/>
          <w:color w:val="000000"/>
          <w:sz w:val="32"/>
          <w:szCs w:val="32"/>
          <w:lang w:eastAsia="zh-CN"/>
        </w:rPr>
        <w:t>预算数</w:t>
      </w:r>
      <w:r>
        <w:rPr>
          <w:rFonts w:hint="eastAsia" w:ascii="Times New Roman" w:hAnsi="Times New Roman" w:eastAsia="仿宋_GB2312" w:cs="仿宋_GB2312"/>
          <w:color w:val="000000"/>
          <w:sz w:val="32"/>
          <w:szCs w:val="32"/>
        </w:rPr>
        <w:t>减少0</w:t>
      </w:r>
      <w:r>
        <w:rPr>
          <w:rFonts w:hint="eastAsia" w:ascii="Times New Roman" w:hAnsi="Times New Roman" w:eastAsia="仿宋_GB2312" w:cs="仿宋_GB2312"/>
          <w:color w:val="000000"/>
          <w:sz w:val="32"/>
          <w:szCs w:val="32"/>
          <w:lang w:val="en-US" w:eastAsia="zh-CN"/>
        </w:rPr>
        <w:t>.00</w:t>
      </w:r>
      <w:r>
        <w:rPr>
          <w:rFonts w:hint="eastAsia" w:ascii="Times New Roman" w:hAnsi="Times New Roman" w:eastAsia="仿宋_GB2312" w:cs="仿宋_GB2312"/>
          <w:color w:val="000000"/>
          <w:sz w:val="32"/>
          <w:szCs w:val="32"/>
        </w:rPr>
        <w:t>万元，下降0</w:t>
      </w:r>
      <w:r>
        <w:rPr>
          <w:rFonts w:hint="eastAsia" w:ascii="Times New Roman" w:hAnsi="Times New Roman" w:eastAsia="仿宋_GB2312" w:cs="仿宋_GB2312"/>
          <w:color w:val="000000"/>
          <w:sz w:val="32"/>
          <w:szCs w:val="32"/>
          <w:lang w:val="en-US" w:eastAsia="zh-CN"/>
        </w:rPr>
        <w:t>.00</w:t>
      </w:r>
      <w:r>
        <w:rPr>
          <w:rFonts w:hint="eastAsia" w:ascii="Times New Roman" w:hAnsi="Times New Roman" w:eastAsia="仿宋_GB2312" w:cs="仿宋_GB2312"/>
          <w:color w:val="000000"/>
          <w:sz w:val="32"/>
          <w:szCs w:val="32"/>
        </w:rPr>
        <w:t>%，主要原因：我单位未安排此项支出。</w:t>
      </w:r>
    </w:p>
    <w:p>
      <w:pPr>
        <w:numPr>
          <w:ilvl w:val="0"/>
          <w:numId w:val="2"/>
        </w:numPr>
        <w:kinsoku w:val="0"/>
        <w:overflowPunct w:val="0"/>
        <w:autoSpaceDE w:val="0"/>
        <w:autoSpaceDN w:val="0"/>
        <w:adjustRightInd w:val="0"/>
        <w:snapToGrid w:val="0"/>
        <w:spacing w:line="580" w:lineRule="exact"/>
        <w:ind w:firstLine="636" w:firstLineChars="200"/>
        <w:rPr>
          <w:rFonts w:ascii="Times New Roman" w:hAnsi="Times New Roman" w:eastAsia="仿宋_GB2312" w:cs="仿宋_GB2312"/>
          <w:color w:val="000000"/>
          <w:sz w:val="32"/>
          <w:szCs w:val="32"/>
        </w:rPr>
      </w:pPr>
      <w:r>
        <w:rPr>
          <w:rFonts w:hint="eastAsia" w:ascii="Times New Roman" w:hAnsi="Times New Roman" w:eastAsia="楷体_GB2312" w:cs="仿宋_GB2312"/>
          <w:color w:val="000000"/>
          <w:spacing w:val="-1"/>
          <w:kern w:val="0"/>
          <w:sz w:val="32"/>
          <w:szCs w:val="32"/>
        </w:rPr>
        <w:t>公务用车购置及运行费</w:t>
      </w:r>
      <w:r>
        <w:rPr>
          <w:rFonts w:hint="eastAsia" w:ascii="Times New Roman" w:hAnsi="Times New Roman" w:eastAsia="仿宋_GB2312" w:cs="仿宋_GB2312"/>
          <w:color w:val="000000"/>
          <w:kern w:val="0"/>
          <w:sz w:val="32"/>
          <w:szCs w:val="32"/>
        </w:rPr>
        <w:t>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楷体_GB2312" w:cs="仿宋_GB2312"/>
          <w:color w:val="000000"/>
          <w:spacing w:val="-1"/>
          <w:kern w:val="0"/>
          <w:sz w:val="32"/>
          <w:szCs w:val="32"/>
        </w:rPr>
        <w:t>万元</w:t>
      </w:r>
      <w:r>
        <w:rPr>
          <w:rFonts w:hint="eastAsia" w:ascii="Times New Roman" w:hAnsi="Times New Roman" w:eastAsia="仿宋_GB2312" w:cs="仿宋_GB2312"/>
          <w:color w:val="000000"/>
          <w:sz w:val="32"/>
          <w:szCs w:val="32"/>
        </w:rPr>
        <w:t>。其中公务车辆购置费</w:t>
      </w:r>
      <w:r>
        <w:rPr>
          <w:rFonts w:hint="eastAsia" w:ascii="Times New Roman" w:hAnsi="Times New Roman" w:eastAsia="仿宋_GB2312" w:cs="仿宋_GB2312"/>
          <w:color w:val="000000"/>
          <w:kern w:val="0"/>
          <w:sz w:val="32"/>
          <w:szCs w:val="32"/>
        </w:rPr>
        <w:t>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sz w:val="32"/>
          <w:szCs w:val="32"/>
        </w:rPr>
        <w:t>万元，主要用于</w:t>
      </w:r>
      <w:r>
        <w:rPr>
          <w:rFonts w:hint="eastAsia" w:ascii="仿宋_GB2312" w:hAnsi="仿宋_GB2312" w:eastAsia="仿宋_GB2312" w:cs="仿宋_GB2312"/>
          <w:color w:val="000000"/>
          <w:kern w:val="0"/>
          <w:sz w:val="32"/>
          <w:szCs w:val="32"/>
        </w:rPr>
        <w:t>单位车辆费用</w:t>
      </w:r>
      <w:r>
        <w:rPr>
          <w:rFonts w:hint="eastAsia" w:ascii="Times New Roman" w:hAnsi="Times New Roman" w:eastAsia="仿宋_GB2312" w:cs="仿宋_GB2312"/>
          <w:color w:val="000000"/>
          <w:sz w:val="32"/>
          <w:szCs w:val="32"/>
        </w:rPr>
        <w:t>,比</w:t>
      </w:r>
      <w:r>
        <w:rPr>
          <w:rFonts w:hint="eastAsia" w:ascii="Times New Roman" w:hAnsi="Times New Roman" w:eastAsia="仿宋_GB2312" w:cs="仿宋_GB2312"/>
          <w:color w:val="000000"/>
          <w:sz w:val="32"/>
          <w:szCs w:val="32"/>
          <w:lang w:val="en-US" w:eastAsia="zh-CN"/>
        </w:rPr>
        <w:t>上</w:t>
      </w:r>
      <w:r>
        <w:rPr>
          <w:rFonts w:hint="eastAsia" w:ascii="Times New Roman" w:hAnsi="Times New Roman" w:eastAsia="仿宋_GB2312" w:cs="仿宋_GB2312"/>
          <w:color w:val="000000"/>
          <w:sz w:val="32"/>
          <w:szCs w:val="32"/>
        </w:rPr>
        <w:t>年减少0</w:t>
      </w:r>
      <w:r>
        <w:rPr>
          <w:rFonts w:hint="eastAsia" w:ascii="Times New Roman" w:hAnsi="Times New Roman" w:eastAsia="仿宋_GB2312" w:cs="仿宋_GB2312"/>
          <w:color w:val="000000"/>
          <w:sz w:val="32"/>
          <w:szCs w:val="32"/>
          <w:lang w:val="en-US" w:eastAsia="zh-CN"/>
        </w:rPr>
        <w:t>.00</w:t>
      </w:r>
      <w:r>
        <w:rPr>
          <w:rFonts w:hint="eastAsia" w:ascii="Times New Roman" w:hAnsi="Times New Roman" w:eastAsia="仿宋_GB2312" w:cs="仿宋_GB2312"/>
          <w:color w:val="000000"/>
          <w:kern w:val="0"/>
          <w:sz w:val="32"/>
          <w:szCs w:val="32"/>
        </w:rPr>
        <w:t>万元，较上年下降0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kern w:val="0"/>
          <w:sz w:val="32"/>
          <w:szCs w:val="32"/>
        </w:rPr>
        <w:t>%，主要原因：</w:t>
      </w:r>
      <w:r>
        <w:rPr>
          <w:rFonts w:hint="eastAsia" w:ascii="仿宋_GB2312" w:hAnsi="仿宋_GB2312" w:eastAsia="仿宋_GB2312" w:cs="仿宋_GB2312"/>
          <w:color w:val="000000"/>
          <w:kern w:val="0"/>
          <w:sz w:val="32"/>
          <w:szCs w:val="32"/>
        </w:rPr>
        <w:t>我单位未安排公务车辆购置支出</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sz w:val="32"/>
          <w:szCs w:val="32"/>
        </w:rPr>
        <w:t>公务用车运行维护费0</w:t>
      </w:r>
      <w:r>
        <w:rPr>
          <w:rFonts w:hint="eastAsia" w:ascii="Times New Roman" w:hAnsi="Times New Roman" w:eastAsia="仿宋_GB2312" w:cs="仿宋_GB2312"/>
          <w:color w:val="000000"/>
          <w:sz w:val="32"/>
          <w:szCs w:val="32"/>
          <w:lang w:val="en-US" w:eastAsia="zh-CN"/>
        </w:rPr>
        <w:t>.00</w:t>
      </w:r>
      <w:r>
        <w:rPr>
          <w:rFonts w:hint="eastAsia" w:ascii="Times New Roman" w:hAnsi="Times New Roman" w:eastAsia="仿宋_GB2312" w:cs="仿宋_GB2312"/>
          <w:color w:val="000000"/>
          <w:kern w:val="0"/>
          <w:sz w:val="32"/>
          <w:szCs w:val="32"/>
        </w:rPr>
        <w:t>万元</w:t>
      </w:r>
      <w:r>
        <w:rPr>
          <w:rFonts w:hint="eastAsia" w:ascii="Times New Roman" w:hAnsi="Times New Roman" w:eastAsia="仿宋_GB2312" w:cs="仿宋_GB2312"/>
          <w:color w:val="000000"/>
          <w:sz w:val="32"/>
          <w:szCs w:val="32"/>
        </w:rPr>
        <w:t>，主要用于</w:t>
      </w:r>
      <w:r>
        <w:rPr>
          <w:rFonts w:hint="eastAsia" w:ascii="仿宋_GB2312" w:hAnsi="仿宋_GB2312" w:eastAsia="仿宋_GB2312" w:cs="仿宋_GB2312"/>
          <w:color w:val="000000"/>
          <w:kern w:val="0"/>
          <w:sz w:val="32"/>
          <w:szCs w:val="32"/>
        </w:rPr>
        <w:t>开展工作所需公务用车的燃料费、维修费、过路过桥费、保险费、安全奖励费等支出</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比上</w:t>
      </w:r>
      <w:r>
        <w:rPr>
          <w:rFonts w:hint="eastAsia" w:ascii="Times New Roman" w:hAnsi="Times New Roman" w:eastAsia="仿宋_GB2312" w:cs="仿宋_GB2312"/>
          <w:color w:val="000000"/>
          <w:sz w:val="32"/>
          <w:szCs w:val="32"/>
        </w:rPr>
        <w:t>年减少0</w:t>
      </w:r>
      <w:r>
        <w:rPr>
          <w:rFonts w:hint="eastAsia" w:ascii="Times New Roman" w:hAnsi="Times New Roman" w:eastAsia="仿宋_GB2312" w:cs="仿宋_GB2312"/>
          <w:color w:val="000000"/>
          <w:sz w:val="32"/>
          <w:szCs w:val="32"/>
          <w:lang w:val="en-US" w:eastAsia="zh-CN"/>
        </w:rPr>
        <w:t>.00</w:t>
      </w:r>
      <w:r>
        <w:rPr>
          <w:rFonts w:hint="eastAsia" w:ascii="Times New Roman" w:hAnsi="Times New Roman" w:eastAsia="仿宋_GB2312" w:cs="仿宋_GB2312"/>
          <w:color w:val="000000"/>
          <w:kern w:val="0"/>
          <w:sz w:val="32"/>
          <w:szCs w:val="32"/>
        </w:rPr>
        <w:t>万元，较上年下降0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kern w:val="0"/>
          <w:sz w:val="32"/>
          <w:szCs w:val="32"/>
        </w:rPr>
        <w:t>%，主要原因：</w:t>
      </w:r>
      <w:r>
        <w:rPr>
          <w:rFonts w:hint="eastAsia" w:ascii="仿宋_GB2312" w:hAnsi="仿宋_GB2312" w:eastAsia="仿宋_GB2312" w:cs="仿宋_GB2312"/>
          <w:color w:val="000000"/>
          <w:kern w:val="0"/>
          <w:sz w:val="32"/>
          <w:szCs w:val="32"/>
        </w:rPr>
        <w:t>我单位没有公务用车</w:t>
      </w:r>
      <w:r>
        <w:rPr>
          <w:rFonts w:hint="eastAsia" w:ascii="Times New Roman" w:hAnsi="Times New Roman" w:eastAsia="仿宋_GB2312" w:cs="仿宋_GB2312"/>
          <w:color w:val="000000"/>
          <w:kern w:val="0"/>
          <w:sz w:val="32"/>
          <w:szCs w:val="32"/>
        </w:rPr>
        <w:t>。</w:t>
      </w:r>
    </w:p>
    <w:p>
      <w:pPr>
        <w:overflowPunct w:val="0"/>
        <w:autoSpaceDE w:val="0"/>
        <w:autoSpaceDN w:val="0"/>
        <w:adjustRightInd w:val="0"/>
        <w:snapToGrid w:val="0"/>
        <w:spacing w:line="574" w:lineRule="exact"/>
        <w:ind w:firstLine="636" w:firstLineChars="200"/>
        <w:outlineLvl w:val="0"/>
        <w:rPr>
          <w:rFonts w:ascii="Times New Roman" w:hAnsi="Times New Roman" w:eastAsia="仿宋_GB2312" w:cs="仿宋_GB2312"/>
          <w:color w:val="000000"/>
          <w:sz w:val="32"/>
          <w:szCs w:val="32"/>
        </w:rPr>
      </w:pPr>
      <w:r>
        <w:rPr>
          <w:rFonts w:hint="eastAsia" w:ascii="Times New Roman" w:hAnsi="Times New Roman" w:eastAsia="楷体_GB2312" w:cs="仿宋_GB2312"/>
          <w:color w:val="000000"/>
          <w:spacing w:val="-1"/>
          <w:kern w:val="0"/>
          <w:sz w:val="32"/>
          <w:szCs w:val="32"/>
        </w:rPr>
        <w:t>（三）公务接待费</w:t>
      </w:r>
      <w:r>
        <w:rPr>
          <w:rFonts w:hint="eastAsia" w:ascii="Times New Roman" w:hAnsi="Times New Roman" w:eastAsia="仿宋_GB2312" w:cs="仿宋_GB2312"/>
          <w:color w:val="000000"/>
          <w:kern w:val="0"/>
          <w:sz w:val="32"/>
          <w:szCs w:val="32"/>
        </w:rPr>
        <w:t>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楷体_GB2312" w:cs="仿宋_GB2312"/>
          <w:color w:val="000000"/>
          <w:spacing w:val="-1"/>
          <w:kern w:val="0"/>
          <w:sz w:val="32"/>
          <w:szCs w:val="32"/>
        </w:rPr>
        <w:t>万元</w:t>
      </w:r>
      <w:r>
        <w:rPr>
          <w:rFonts w:hint="eastAsia" w:ascii="Times New Roman" w:hAnsi="Times New Roman" w:eastAsia="仿宋_GB2312" w:cs="仿宋_GB2312"/>
          <w:color w:val="000000"/>
          <w:sz w:val="32"/>
          <w:szCs w:val="32"/>
        </w:rPr>
        <w:t>，主要用于</w:t>
      </w:r>
      <w:r>
        <w:rPr>
          <w:rFonts w:hint="eastAsia" w:ascii="仿宋_GB2312" w:hAnsi="仿宋_GB2312" w:eastAsia="仿宋_GB2312" w:cs="仿宋_GB2312"/>
          <w:color w:val="000000"/>
          <w:sz w:val="32"/>
          <w:szCs w:val="32"/>
        </w:rPr>
        <w:t>按规定开支的各类公务接待(含外宾接待)支出</w:t>
      </w:r>
      <w:r>
        <w:rPr>
          <w:rFonts w:hint="eastAsia" w:ascii="Times New Roman" w:hAnsi="Times New Roman" w:eastAsia="仿宋_GB2312" w:cs="仿宋_GB2312"/>
          <w:color w:val="000000"/>
          <w:kern w:val="0"/>
          <w:sz w:val="32"/>
          <w:szCs w:val="32"/>
        </w:rPr>
        <w:t>，比</w:t>
      </w:r>
      <w:r>
        <w:rPr>
          <w:rFonts w:hint="eastAsia" w:ascii="Times New Roman" w:hAnsi="Times New Roman" w:eastAsia="仿宋_GB2312" w:cs="仿宋_GB2312"/>
          <w:color w:val="000000"/>
          <w:kern w:val="0"/>
          <w:sz w:val="32"/>
          <w:szCs w:val="32"/>
          <w:lang w:eastAsia="zh-CN"/>
        </w:rPr>
        <w:t>上</w:t>
      </w:r>
      <w:r>
        <w:rPr>
          <w:rFonts w:hint="eastAsia" w:ascii="Times New Roman" w:hAnsi="Times New Roman" w:eastAsia="仿宋_GB2312" w:cs="仿宋_GB2312"/>
          <w:color w:val="000000"/>
          <w:kern w:val="0"/>
          <w:sz w:val="32"/>
          <w:szCs w:val="32"/>
        </w:rPr>
        <w:t>年预算数减少0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kern w:val="0"/>
          <w:sz w:val="32"/>
          <w:szCs w:val="32"/>
        </w:rPr>
        <w:t>万元，下降0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kern w:val="0"/>
          <w:sz w:val="32"/>
          <w:szCs w:val="32"/>
        </w:rPr>
        <w:t>%，主要原因：</w:t>
      </w:r>
      <w:r>
        <w:rPr>
          <w:rFonts w:hint="eastAsia" w:ascii="仿宋_GB2312" w:hAnsi="仿宋_GB2312" w:eastAsia="仿宋_GB2312" w:cs="仿宋_GB2312"/>
          <w:color w:val="000000"/>
          <w:kern w:val="0"/>
          <w:sz w:val="32"/>
          <w:szCs w:val="32"/>
        </w:rPr>
        <w:t>严格执行八项规定，压缩公务活动接待，接待任务减少</w:t>
      </w:r>
      <w:r>
        <w:rPr>
          <w:rFonts w:hint="eastAsia" w:ascii="Times New Roman" w:hAnsi="Times New Roman" w:eastAsia="仿宋_GB2312" w:cs="仿宋_GB2312"/>
          <w:color w:val="000000"/>
          <w:kern w:val="0"/>
          <w:sz w:val="32"/>
          <w:szCs w:val="32"/>
        </w:rPr>
        <w:t>。</w:t>
      </w:r>
    </w:p>
    <w:p>
      <w:pPr>
        <w:overflowPunct w:val="0"/>
        <w:autoSpaceDE w:val="0"/>
        <w:autoSpaceDN w:val="0"/>
        <w:adjustRightInd w:val="0"/>
        <w:snapToGrid w:val="0"/>
        <w:spacing w:line="574" w:lineRule="exact"/>
        <w:ind w:firstLine="640" w:firstLineChars="200"/>
        <w:outlineLvl w:val="0"/>
        <w:rPr>
          <w:rFonts w:ascii="Times New Roman" w:hAnsi="Times New Roman" w:eastAsia="仿宋_GB2312" w:cs="仿宋_GB2312"/>
          <w:color w:val="000000"/>
          <w:sz w:val="32"/>
          <w:szCs w:val="32"/>
        </w:rPr>
      </w:pPr>
      <w:r>
        <w:rPr>
          <w:rFonts w:hint="eastAsia" w:ascii="Times New Roman" w:hAnsi="Times New Roman" w:eastAsia="黑体"/>
          <w:color w:val="000000"/>
          <w:kern w:val="0"/>
          <w:sz w:val="32"/>
          <w:szCs w:val="32"/>
        </w:rPr>
        <w:t xml:space="preserve"> </w:t>
      </w:r>
      <w:r>
        <w:rPr>
          <w:rFonts w:hint="eastAsia" w:ascii="Times New Roman" w:hAnsi="Times New Roman" w:eastAsia="黑体"/>
          <w:color w:val="000000"/>
          <w:spacing w:val="-1"/>
          <w:kern w:val="0"/>
          <w:sz w:val="32"/>
          <w:szCs w:val="32"/>
        </w:rPr>
        <w:t>十、其他重要事项的情况说明</w:t>
      </w:r>
    </w:p>
    <w:p>
      <w:pPr>
        <w:overflowPunct w:val="0"/>
        <w:autoSpaceDE w:val="0"/>
        <w:autoSpaceDN w:val="0"/>
        <w:adjustRightInd w:val="0"/>
        <w:snapToGrid w:val="0"/>
        <w:spacing w:line="574" w:lineRule="exact"/>
        <w:ind w:firstLine="640" w:firstLineChars="200"/>
        <w:outlineLvl w:val="0"/>
        <w:rPr>
          <w:rFonts w:ascii="Times New Roman" w:hAnsi="Times New Roman" w:eastAsia="楷体_GB2312" w:cs="仿宋_GB2312"/>
          <w:color w:val="000000"/>
          <w:sz w:val="32"/>
          <w:szCs w:val="32"/>
        </w:rPr>
      </w:pPr>
      <w:r>
        <w:rPr>
          <w:rFonts w:hint="eastAsia" w:ascii="Times New Roman" w:hAnsi="Times New Roman" w:eastAsia="楷体_GB2312" w:cs="仿宋_GB2312"/>
          <w:color w:val="000000"/>
          <w:kern w:val="0"/>
          <w:sz w:val="32"/>
          <w:szCs w:val="32"/>
        </w:rPr>
        <w:t>（一）机构运行经费支出情况</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2022年机构运行经费支出预算</w:t>
      </w:r>
      <w:r>
        <w:rPr>
          <w:rFonts w:hint="eastAsia" w:ascii="Times New Roman" w:hAnsi="Times New Roman" w:eastAsia="仿宋_GB2312" w:cs="仿宋_GB2312"/>
          <w:color w:val="000000"/>
          <w:kern w:val="0"/>
          <w:sz w:val="32"/>
          <w:szCs w:val="32"/>
        </w:rPr>
        <w:t>12.18</w:t>
      </w:r>
      <w:r>
        <w:rPr>
          <w:rFonts w:hint="eastAsia" w:ascii="Times New Roman" w:hAnsi="Times New Roman" w:eastAsia="仿宋_GB2312" w:cs="仿宋_GB2312"/>
          <w:color w:val="000000"/>
          <w:sz w:val="32"/>
          <w:szCs w:val="32"/>
        </w:rPr>
        <w:t>万元，主要保障机构正常运转及正常履职需要的办公费、水电费、物业费、维修费、差旅费等支出，比</w:t>
      </w:r>
      <w:r>
        <w:rPr>
          <w:rFonts w:hint="eastAsia" w:ascii="Times New Roman" w:hAnsi="Times New Roman" w:eastAsia="仿宋_GB2312" w:cs="仿宋_GB2312"/>
          <w:color w:val="000000"/>
          <w:sz w:val="32"/>
          <w:szCs w:val="32"/>
          <w:lang w:eastAsia="zh-CN"/>
        </w:rPr>
        <w:t>上</w:t>
      </w:r>
      <w:r>
        <w:rPr>
          <w:rFonts w:hint="eastAsia" w:ascii="Times New Roman" w:hAnsi="Times New Roman" w:eastAsia="仿宋_GB2312" w:cs="仿宋_GB2312"/>
          <w:color w:val="000000"/>
          <w:sz w:val="32"/>
          <w:szCs w:val="32"/>
        </w:rPr>
        <w:t>年减少0.02</w:t>
      </w:r>
      <w:r>
        <w:rPr>
          <w:rFonts w:hint="eastAsia" w:ascii="Times New Roman" w:hAnsi="Times New Roman" w:eastAsia="仿宋_GB2312" w:cs="仿宋_GB2312"/>
          <w:color w:val="000000"/>
          <w:kern w:val="0"/>
          <w:sz w:val="32"/>
          <w:szCs w:val="32"/>
        </w:rPr>
        <w:t>万元，下降0.16%，主要原因：公用经费支出减少</w:t>
      </w:r>
      <w:r>
        <w:rPr>
          <w:rFonts w:hint="eastAsia" w:ascii="Times New Roman" w:hAnsi="Times New Roman" w:eastAsia="仿宋_GB2312" w:cs="仿宋_GB2312"/>
          <w:color w:val="000000"/>
          <w:sz w:val="32"/>
          <w:szCs w:val="32"/>
        </w:rPr>
        <w:t>。</w:t>
      </w:r>
    </w:p>
    <w:p>
      <w:pPr>
        <w:overflowPunct w:val="0"/>
        <w:autoSpaceDE w:val="0"/>
        <w:autoSpaceDN w:val="0"/>
        <w:adjustRightInd w:val="0"/>
        <w:snapToGrid w:val="0"/>
        <w:spacing w:line="574" w:lineRule="exact"/>
        <w:ind w:firstLine="640" w:firstLineChars="200"/>
        <w:outlineLvl w:val="0"/>
        <w:rPr>
          <w:rFonts w:ascii="Times New Roman" w:hAnsi="Times New Roman" w:eastAsia="楷体_GB2312" w:cs="仿宋_GB2312"/>
          <w:color w:val="000000"/>
          <w:kern w:val="0"/>
          <w:sz w:val="32"/>
          <w:szCs w:val="32"/>
        </w:rPr>
      </w:pPr>
      <w:r>
        <w:rPr>
          <w:rFonts w:hint="eastAsia" w:ascii="Times New Roman" w:hAnsi="Times New Roman" w:eastAsia="楷体_GB2312" w:cs="仿宋_GB2312"/>
          <w:color w:val="000000"/>
          <w:kern w:val="0"/>
          <w:sz w:val="32"/>
          <w:szCs w:val="32"/>
        </w:rPr>
        <w:t>（二）政府采购支出情况</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2022年政府采购预算安排</w:t>
      </w:r>
      <w:r>
        <w:rPr>
          <w:rFonts w:hint="eastAsia" w:ascii="Times New Roman" w:hAnsi="Times New Roman" w:eastAsia="仿宋_GB2312" w:cs="仿宋_GB2312"/>
          <w:color w:val="000000"/>
          <w:kern w:val="0"/>
          <w:sz w:val="32"/>
          <w:szCs w:val="32"/>
        </w:rPr>
        <w:t>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sz w:val="32"/>
          <w:szCs w:val="32"/>
        </w:rPr>
        <w:t>万元，其中：</w:t>
      </w:r>
      <w:r>
        <w:rPr>
          <w:rFonts w:hint="eastAsia" w:ascii="Times New Roman" w:hAnsi="Times New Roman" w:eastAsia="仿宋_GB2312" w:cs="仿宋_GB2312"/>
          <w:color w:val="000000"/>
          <w:kern w:val="0"/>
          <w:sz w:val="32"/>
          <w:szCs w:val="32"/>
        </w:rPr>
        <w:t>政府采购货物预算0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kern w:val="0"/>
          <w:sz w:val="32"/>
          <w:szCs w:val="32"/>
        </w:rPr>
        <w:t>万元、政府采购工程预算0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kern w:val="0"/>
          <w:sz w:val="32"/>
          <w:szCs w:val="32"/>
        </w:rPr>
        <w:t>万元、政府采购服务预算0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kern w:val="0"/>
          <w:sz w:val="32"/>
          <w:szCs w:val="32"/>
        </w:rPr>
        <w:t>万元。</w:t>
      </w:r>
    </w:p>
    <w:p>
      <w:pPr>
        <w:overflowPunct w:val="0"/>
        <w:autoSpaceDE w:val="0"/>
        <w:autoSpaceDN w:val="0"/>
        <w:adjustRightInd w:val="0"/>
        <w:snapToGrid w:val="0"/>
        <w:spacing w:line="574" w:lineRule="exact"/>
        <w:ind w:firstLine="640" w:firstLineChars="200"/>
        <w:outlineLvl w:val="0"/>
        <w:rPr>
          <w:rFonts w:ascii="Times New Roman" w:hAnsi="Times New Roman" w:eastAsia="楷体_GB2312" w:cs="仿宋_GB2312"/>
          <w:color w:val="000000"/>
          <w:kern w:val="0"/>
          <w:sz w:val="32"/>
          <w:szCs w:val="32"/>
        </w:rPr>
      </w:pPr>
      <w:r>
        <w:rPr>
          <w:rFonts w:hint="eastAsia" w:ascii="Times New Roman" w:hAnsi="Times New Roman" w:eastAsia="楷体_GB2312" w:cs="仿宋_GB2312"/>
          <w:color w:val="000000"/>
          <w:kern w:val="0"/>
          <w:sz w:val="32"/>
          <w:szCs w:val="32"/>
        </w:rPr>
        <w:t>（三）关于预算绩效管理工作开展情况说明</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2022年</w:t>
      </w:r>
      <w:r>
        <w:rPr>
          <w:rFonts w:hint="eastAsia" w:ascii="Times New Roman" w:hAnsi="Times New Roman" w:eastAsia="仿宋_GB2312" w:cs="仿宋_GB2312"/>
          <w:color w:val="000000"/>
          <w:kern w:val="0"/>
          <w:sz w:val="32"/>
          <w:szCs w:val="32"/>
          <w:lang w:eastAsia="zh-CN"/>
        </w:rPr>
        <w:t>博爱县园林绿化中心</w:t>
      </w:r>
      <w:r>
        <w:rPr>
          <w:rFonts w:ascii="Times New Roman" w:hAnsi="Times New Roman" w:eastAsia="仿宋_GB2312" w:cs="仿宋_GB2312"/>
          <w:color w:val="000000"/>
          <w:sz w:val="32"/>
          <w:szCs w:val="32"/>
        </w:rPr>
        <w:t>按要求编制了绩效目标，</w:t>
      </w:r>
      <w:r>
        <w:rPr>
          <w:rFonts w:hint="eastAsia" w:ascii="Times New Roman" w:hAnsi="Times New Roman" w:eastAsia="仿宋_GB2312" w:cs="仿宋_GB2312"/>
          <w:color w:val="000000"/>
          <w:sz w:val="32"/>
          <w:szCs w:val="32"/>
        </w:rPr>
        <w:t>包括项目支出绩效目标，</w:t>
      </w:r>
      <w:r>
        <w:rPr>
          <w:rFonts w:ascii="Times New Roman" w:hAnsi="Times New Roman" w:eastAsia="仿宋_GB2312" w:cs="仿宋_GB2312"/>
          <w:color w:val="000000"/>
          <w:sz w:val="32"/>
          <w:szCs w:val="32"/>
        </w:rPr>
        <w:t>综合反映</w:t>
      </w:r>
      <w:r>
        <w:rPr>
          <w:rFonts w:hint="eastAsia" w:ascii="Times New Roman" w:hAnsi="Times New Roman" w:eastAsia="仿宋_GB2312" w:cs="仿宋_GB2312"/>
          <w:color w:val="000000"/>
          <w:sz w:val="32"/>
          <w:szCs w:val="32"/>
        </w:rPr>
        <w:t>了单位及各</w:t>
      </w:r>
      <w:r>
        <w:rPr>
          <w:rFonts w:ascii="Times New Roman" w:hAnsi="Times New Roman" w:eastAsia="仿宋_GB2312" w:cs="仿宋_GB2312"/>
          <w:color w:val="000000"/>
          <w:sz w:val="32"/>
          <w:szCs w:val="32"/>
        </w:rPr>
        <w:t>项目预期完成的数量、实效、质量</w:t>
      </w:r>
      <w:r>
        <w:rPr>
          <w:rFonts w:hint="eastAsia" w:ascii="Times New Roman" w:hAnsi="Times New Roman" w:eastAsia="仿宋_GB2312" w:cs="仿宋_GB2312"/>
          <w:color w:val="000000"/>
          <w:sz w:val="32"/>
          <w:szCs w:val="32"/>
        </w:rPr>
        <w:t>，产生的</w:t>
      </w:r>
      <w:r>
        <w:rPr>
          <w:rFonts w:ascii="Times New Roman" w:hAnsi="Times New Roman" w:eastAsia="仿宋_GB2312" w:cs="仿宋_GB2312"/>
          <w:color w:val="000000"/>
          <w:sz w:val="32"/>
          <w:szCs w:val="32"/>
        </w:rPr>
        <w:t>社会经济效益</w:t>
      </w:r>
      <w:r>
        <w:rPr>
          <w:rFonts w:hint="eastAsia" w:ascii="Times New Roman" w:hAnsi="Times New Roman" w:eastAsia="仿宋_GB2312" w:cs="仿宋_GB2312"/>
          <w:color w:val="000000"/>
          <w:sz w:val="32"/>
          <w:szCs w:val="32"/>
        </w:rPr>
        <w:t>和</w:t>
      </w:r>
      <w:r>
        <w:rPr>
          <w:rFonts w:ascii="Times New Roman" w:hAnsi="Times New Roman" w:eastAsia="仿宋_GB2312" w:cs="仿宋_GB2312"/>
          <w:color w:val="000000"/>
          <w:sz w:val="32"/>
          <w:szCs w:val="32"/>
        </w:rPr>
        <w:t>服务对象满意度等</w:t>
      </w:r>
      <w:r>
        <w:rPr>
          <w:rFonts w:hint="eastAsia" w:ascii="Times New Roman" w:hAnsi="Times New Roman" w:eastAsia="仿宋_GB2312" w:cs="仿宋_GB2312"/>
          <w:color w:val="000000"/>
          <w:sz w:val="32"/>
          <w:szCs w:val="32"/>
        </w:rPr>
        <w:t>情况</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2022年，我单位纳入预算绩效管理的支出总额为</w:t>
      </w:r>
      <w:r>
        <w:rPr>
          <w:rFonts w:hint="eastAsia" w:ascii="Times New Roman" w:hAnsi="Times New Roman" w:cs="宋体"/>
          <w:color w:val="000000"/>
          <w:kern w:val="0"/>
          <w:sz w:val="24"/>
          <w:szCs w:val="24"/>
        </w:rPr>
        <w:t xml:space="preserve"> </w:t>
      </w:r>
      <w:r>
        <w:rPr>
          <w:rFonts w:hint="eastAsia" w:ascii="Times New Roman" w:hAnsi="Times New Roman" w:eastAsia="仿宋_GB2312" w:cs="仿宋_GB2312"/>
          <w:color w:val="000000"/>
          <w:kern w:val="0"/>
          <w:sz w:val="32"/>
          <w:szCs w:val="32"/>
        </w:rPr>
        <w:t>1621.61</w:t>
      </w:r>
      <w:r>
        <w:rPr>
          <w:rFonts w:hint="eastAsia" w:ascii="Times New Roman" w:hAnsi="Times New Roman" w:eastAsia="仿宋_GB2312" w:cs="仿宋_GB2312"/>
          <w:color w:val="000000"/>
          <w:sz w:val="32"/>
          <w:szCs w:val="32"/>
        </w:rPr>
        <w:t>万元。其中：人员经费支出</w:t>
      </w:r>
      <w:r>
        <w:rPr>
          <w:rFonts w:hint="eastAsia" w:ascii="Times New Roman" w:hAnsi="Times New Roman" w:eastAsia="仿宋_GB2312" w:cs="仿宋_GB2312"/>
          <w:color w:val="000000"/>
          <w:kern w:val="0"/>
          <w:sz w:val="32"/>
          <w:szCs w:val="32"/>
        </w:rPr>
        <w:t>172.66</w:t>
      </w:r>
      <w:r>
        <w:rPr>
          <w:rFonts w:hint="eastAsia" w:ascii="Times New Roman" w:hAnsi="Times New Roman" w:eastAsia="仿宋_GB2312" w:cs="仿宋_GB2312"/>
          <w:color w:val="000000"/>
          <w:sz w:val="32"/>
          <w:szCs w:val="32"/>
        </w:rPr>
        <w:t>万元；公用经费支出</w:t>
      </w:r>
      <w:r>
        <w:rPr>
          <w:rFonts w:hint="eastAsia" w:ascii="Times New Roman" w:hAnsi="Times New Roman" w:eastAsia="仿宋_GB2312" w:cs="仿宋_GB2312"/>
          <w:color w:val="000000"/>
          <w:kern w:val="0"/>
          <w:sz w:val="32"/>
          <w:szCs w:val="32"/>
        </w:rPr>
        <w:t>12.34</w:t>
      </w:r>
      <w:r>
        <w:rPr>
          <w:rFonts w:hint="eastAsia" w:ascii="Times New Roman" w:hAnsi="Times New Roman" w:eastAsia="仿宋_GB2312" w:cs="仿宋_GB2312"/>
          <w:color w:val="000000"/>
          <w:sz w:val="32"/>
          <w:szCs w:val="32"/>
        </w:rPr>
        <w:t>万元；项目支出</w:t>
      </w:r>
      <w:r>
        <w:rPr>
          <w:rFonts w:hint="eastAsia" w:ascii="Times New Roman" w:hAnsi="Times New Roman" w:eastAsia="仿宋_GB2312" w:cs="仿宋_GB2312"/>
          <w:color w:val="000000"/>
          <w:kern w:val="0"/>
          <w:sz w:val="32"/>
          <w:szCs w:val="32"/>
        </w:rPr>
        <w:t>1436.61</w:t>
      </w:r>
      <w:r>
        <w:rPr>
          <w:rFonts w:hint="eastAsia" w:ascii="Times New Roman" w:hAnsi="Times New Roman" w:eastAsia="仿宋_GB2312" w:cs="仿宋_GB2312"/>
          <w:color w:val="000000"/>
          <w:sz w:val="32"/>
          <w:szCs w:val="32"/>
        </w:rPr>
        <w:t>万元，涉及项目</w:t>
      </w:r>
      <w:r>
        <w:rPr>
          <w:rFonts w:hint="eastAsia" w:ascii="Times New Roman" w:hAnsi="Times New Roman" w:eastAsia="仿宋_GB2312" w:cs="仿宋_GB2312"/>
          <w:color w:val="000000"/>
          <w:kern w:val="0"/>
          <w:sz w:val="32"/>
          <w:szCs w:val="32"/>
        </w:rPr>
        <w:t>13</w:t>
      </w:r>
      <w:r>
        <w:rPr>
          <w:rFonts w:hint="eastAsia" w:ascii="Times New Roman" w:hAnsi="Times New Roman" w:eastAsia="仿宋_GB2312" w:cs="仿宋_GB2312"/>
          <w:color w:val="000000"/>
          <w:sz w:val="32"/>
          <w:szCs w:val="32"/>
        </w:rPr>
        <w:t>个。</w:t>
      </w:r>
    </w:p>
    <w:p>
      <w:pPr>
        <w:overflowPunct w:val="0"/>
        <w:autoSpaceDE w:val="0"/>
        <w:autoSpaceDN w:val="0"/>
        <w:adjustRightInd w:val="0"/>
        <w:snapToGrid w:val="0"/>
        <w:spacing w:line="574" w:lineRule="exact"/>
        <w:ind w:firstLine="640" w:firstLineChars="200"/>
        <w:rPr>
          <w:rFonts w:ascii="Times New Roman" w:hAnsi="Times New Roman" w:eastAsia="楷体_GB2312" w:cs="仿宋_GB2312"/>
          <w:bCs/>
          <w:color w:val="000000"/>
          <w:sz w:val="32"/>
          <w:szCs w:val="32"/>
        </w:rPr>
      </w:pPr>
      <w:r>
        <w:rPr>
          <w:rFonts w:hint="eastAsia" w:ascii="Times New Roman" w:hAnsi="Times New Roman" w:eastAsia="楷体_GB2312" w:cs="仿宋_GB2312"/>
          <w:bCs/>
          <w:color w:val="000000"/>
          <w:sz w:val="32"/>
          <w:szCs w:val="32"/>
        </w:rPr>
        <w:t>（四）国有资产占用情况</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eastAsia="zh-CN"/>
        </w:rPr>
        <w:t>上</w:t>
      </w:r>
      <w:r>
        <w:rPr>
          <w:rFonts w:hint="eastAsia" w:ascii="Times New Roman" w:hAnsi="Times New Roman" w:eastAsia="仿宋_GB2312" w:cs="仿宋_GB2312"/>
          <w:color w:val="000000"/>
          <w:kern w:val="0"/>
          <w:sz w:val="32"/>
          <w:szCs w:val="32"/>
        </w:rPr>
        <w:t>年期末，博爱县园林绿化中心</w:t>
      </w:r>
      <w:r>
        <w:rPr>
          <w:rFonts w:hint="eastAsia" w:ascii="Times New Roman" w:hAnsi="Times New Roman" w:eastAsia="仿宋_GB2312" w:cs="仿宋_GB2312"/>
          <w:color w:val="000000"/>
          <w:kern w:val="0"/>
          <w:sz w:val="32"/>
          <w:szCs w:val="32"/>
          <w:lang w:eastAsia="zh-CN"/>
        </w:rPr>
        <w:t>单位</w:t>
      </w:r>
      <w:r>
        <w:rPr>
          <w:rFonts w:hint="eastAsia" w:ascii="Times New Roman" w:hAnsi="Times New Roman" w:eastAsia="仿宋_GB2312" w:cs="仿宋_GB2312"/>
          <w:color w:val="000000"/>
          <w:kern w:val="0"/>
          <w:sz w:val="32"/>
          <w:szCs w:val="32"/>
        </w:rPr>
        <w:t>固定资产总额137.29万元，其中，房屋建筑物0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kern w:val="0"/>
          <w:sz w:val="32"/>
          <w:szCs w:val="32"/>
        </w:rPr>
        <w:t>万元，车辆99.94万元，办公设备18.79万元，专用设备18.56万元，其他资产0</w:t>
      </w:r>
      <w:r>
        <w:rPr>
          <w:rFonts w:hint="eastAsia" w:ascii="Times New Roman" w:hAnsi="Times New Roman" w:eastAsia="仿宋_GB2312" w:cs="仿宋_GB2312"/>
          <w:color w:val="000000"/>
          <w:kern w:val="0"/>
          <w:sz w:val="32"/>
          <w:szCs w:val="32"/>
          <w:lang w:val="en-US" w:eastAsia="zh-CN"/>
        </w:rPr>
        <w:t>.00</w:t>
      </w:r>
      <w:r>
        <w:rPr>
          <w:rFonts w:hint="eastAsia" w:ascii="Times New Roman" w:hAnsi="Times New Roman" w:eastAsia="仿宋_GB2312" w:cs="仿宋_GB2312"/>
          <w:color w:val="000000"/>
          <w:kern w:val="0"/>
          <w:sz w:val="32"/>
          <w:szCs w:val="32"/>
        </w:rPr>
        <w:t>万元。车辆共有6辆，其中：一般公务用车0辆，执法执勤车0辆，</w:t>
      </w:r>
      <w:r>
        <w:rPr>
          <w:rFonts w:hint="eastAsia" w:ascii="仿宋_GB2312" w:hAnsi="仿宋_GB2312" w:eastAsia="仿宋_GB2312" w:cs="仿宋_GB2312"/>
          <w:color w:val="000000"/>
          <w:kern w:val="0"/>
          <w:sz w:val="32"/>
          <w:szCs w:val="32"/>
        </w:rPr>
        <w:t>其他车辆6辆</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sz w:val="32"/>
          <w:szCs w:val="32"/>
        </w:rPr>
        <w:t>单价50</w:t>
      </w:r>
      <w:r>
        <w:rPr>
          <w:rFonts w:hint="eastAsia" w:ascii="Times New Roman" w:hAnsi="Times New Roman" w:eastAsia="仿宋_GB2312" w:cs="仿宋_GB2312"/>
          <w:color w:val="000000"/>
          <w:sz w:val="32"/>
          <w:szCs w:val="32"/>
          <w:lang w:val="en-US" w:eastAsia="zh-CN"/>
        </w:rPr>
        <w:t>.00</w:t>
      </w:r>
      <w:r>
        <w:rPr>
          <w:rFonts w:hint="eastAsia" w:ascii="Times New Roman" w:hAnsi="Times New Roman" w:eastAsia="仿宋_GB2312" w:cs="仿宋_GB2312"/>
          <w:color w:val="000000"/>
          <w:sz w:val="32"/>
          <w:szCs w:val="32"/>
        </w:rPr>
        <w:t>万元以上通用设备</w:t>
      </w:r>
      <w:r>
        <w:rPr>
          <w:rFonts w:hint="eastAsia" w:ascii="Times New Roman" w:hAnsi="Times New Roman" w:eastAsia="仿宋_GB2312" w:cs="仿宋_GB2312"/>
          <w:color w:val="000000"/>
          <w:kern w:val="0"/>
          <w:sz w:val="32"/>
          <w:szCs w:val="32"/>
        </w:rPr>
        <w:t>0</w:t>
      </w:r>
      <w:r>
        <w:rPr>
          <w:rFonts w:hint="eastAsia" w:ascii="Times New Roman" w:hAnsi="Times New Roman" w:eastAsia="仿宋_GB2312" w:cs="仿宋_GB2312"/>
          <w:color w:val="000000"/>
          <w:sz w:val="32"/>
          <w:szCs w:val="32"/>
        </w:rPr>
        <w:t>台，单位价值100</w:t>
      </w:r>
      <w:r>
        <w:rPr>
          <w:rFonts w:hint="eastAsia" w:ascii="Times New Roman" w:hAnsi="Times New Roman" w:eastAsia="仿宋_GB2312" w:cs="仿宋_GB2312"/>
          <w:color w:val="000000"/>
          <w:sz w:val="32"/>
          <w:szCs w:val="32"/>
          <w:lang w:val="en-US" w:eastAsia="zh-CN"/>
        </w:rPr>
        <w:t>.00</w:t>
      </w:r>
      <w:r>
        <w:rPr>
          <w:rFonts w:hint="eastAsia" w:ascii="Times New Roman" w:hAnsi="Times New Roman" w:eastAsia="仿宋_GB2312" w:cs="仿宋_GB2312"/>
          <w:color w:val="000000"/>
          <w:sz w:val="32"/>
          <w:szCs w:val="32"/>
        </w:rPr>
        <w:t>万元以上专用设备</w:t>
      </w:r>
      <w:r>
        <w:rPr>
          <w:rFonts w:hint="eastAsia" w:ascii="Times New Roman" w:hAnsi="Times New Roman" w:eastAsia="仿宋_GB2312" w:cs="仿宋_GB2312"/>
          <w:color w:val="000000"/>
          <w:kern w:val="0"/>
          <w:sz w:val="32"/>
          <w:szCs w:val="32"/>
        </w:rPr>
        <w:t>0</w:t>
      </w:r>
      <w:r>
        <w:rPr>
          <w:rFonts w:hint="eastAsia" w:ascii="Times New Roman" w:hAnsi="Times New Roman" w:eastAsia="仿宋_GB2312" w:cs="仿宋_GB2312"/>
          <w:color w:val="000000"/>
          <w:sz w:val="32"/>
          <w:szCs w:val="32"/>
        </w:rPr>
        <w:t>台。</w:t>
      </w:r>
    </w:p>
    <w:p>
      <w:pPr>
        <w:overflowPunct w:val="0"/>
        <w:autoSpaceDE w:val="0"/>
        <w:autoSpaceDN w:val="0"/>
        <w:adjustRightInd w:val="0"/>
        <w:snapToGrid w:val="0"/>
        <w:spacing w:line="574" w:lineRule="exact"/>
        <w:ind w:firstLine="640" w:firstLineChars="200"/>
        <w:rPr>
          <w:rFonts w:ascii="Times New Roman" w:hAnsi="Times New Roman" w:eastAsia="楷体_GB2312" w:cs="仿宋_GB2312"/>
          <w:color w:val="000000"/>
          <w:kern w:val="0"/>
          <w:sz w:val="32"/>
          <w:szCs w:val="32"/>
        </w:rPr>
      </w:pPr>
      <w:r>
        <w:rPr>
          <w:rFonts w:hint="eastAsia" w:ascii="Times New Roman" w:hAnsi="Times New Roman" w:eastAsia="楷体_GB2312" w:cs="仿宋_GB2312"/>
          <w:color w:val="000000"/>
          <w:kern w:val="0"/>
          <w:sz w:val="32"/>
          <w:szCs w:val="32"/>
        </w:rPr>
        <w:t>（五）专项转移支付项目情况</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我</w:t>
      </w:r>
      <w:r>
        <w:rPr>
          <w:rFonts w:hint="eastAsia" w:ascii="Times New Roman" w:hAnsi="Times New Roman" w:eastAsia="仿宋_GB2312" w:cs="仿宋_GB2312"/>
          <w:color w:val="000000"/>
          <w:sz w:val="32"/>
          <w:szCs w:val="32"/>
          <w:lang w:eastAsia="zh-CN"/>
        </w:rPr>
        <w:t>单位</w:t>
      </w:r>
      <w:r>
        <w:rPr>
          <w:rFonts w:hint="eastAsia" w:ascii="Times New Roman" w:hAnsi="Times New Roman" w:eastAsia="仿宋_GB2312" w:cs="仿宋_GB2312"/>
          <w:color w:val="000000"/>
          <w:sz w:val="32"/>
          <w:szCs w:val="32"/>
        </w:rPr>
        <w:t>负责管理的专项转移支付项目共有0项，我</w:t>
      </w:r>
      <w:r>
        <w:rPr>
          <w:rFonts w:hint="eastAsia" w:ascii="Times New Roman" w:hAnsi="Times New Roman" w:eastAsia="仿宋_GB2312" w:cs="仿宋_GB2312"/>
          <w:color w:val="000000"/>
          <w:sz w:val="32"/>
          <w:szCs w:val="32"/>
          <w:lang w:eastAsia="zh-CN"/>
        </w:rPr>
        <w:t>单位</w:t>
      </w:r>
      <w:r>
        <w:rPr>
          <w:rFonts w:hint="eastAsia" w:ascii="Times New Roman" w:hAnsi="Times New Roman" w:eastAsia="仿宋_GB2312" w:cs="仿宋_GB2312"/>
          <w:color w:val="000000"/>
          <w:sz w:val="32"/>
          <w:szCs w:val="32"/>
        </w:rPr>
        <w:t>将按照《预算法》等有关规定，积极做好项目分配前期准备工作，在规定的时间内向财政</w:t>
      </w:r>
      <w:r>
        <w:rPr>
          <w:rFonts w:hint="eastAsia" w:ascii="Times New Roman" w:hAnsi="Times New Roman" w:eastAsia="仿宋_GB2312" w:cs="仿宋_GB2312"/>
          <w:color w:val="000000"/>
          <w:sz w:val="32"/>
          <w:szCs w:val="32"/>
          <w:lang w:eastAsia="zh-CN"/>
        </w:rPr>
        <w:t>单位</w:t>
      </w:r>
      <w:r>
        <w:rPr>
          <w:rFonts w:hint="eastAsia" w:ascii="Times New Roman" w:hAnsi="Times New Roman" w:eastAsia="仿宋_GB2312" w:cs="仿宋_GB2312"/>
          <w:color w:val="000000"/>
          <w:sz w:val="32"/>
          <w:szCs w:val="32"/>
        </w:rPr>
        <w:t>提出资金分配意见，根据有关要求做好项目申报公开等相关工作。</w:t>
      </w:r>
    </w:p>
    <w:p>
      <w:pPr>
        <w:overflowPunct w:val="0"/>
        <w:autoSpaceDE w:val="0"/>
        <w:autoSpaceDN w:val="0"/>
        <w:adjustRightInd w:val="0"/>
        <w:snapToGrid w:val="0"/>
        <w:spacing w:line="574" w:lineRule="exact"/>
        <w:ind w:firstLine="640" w:firstLineChars="200"/>
        <w:rPr>
          <w:rFonts w:ascii="Times New Roman" w:hAnsi="Times New Roman" w:eastAsia="楷体_GB2312" w:cs="仿宋_GB2312"/>
          <w:color w:val="000000"/>
          <w:kern w:val="0"/>
          <w:sz w:val="32"/>
          <w:szCs w:val="32"/>
        </w:rPr>
      </w:pPr>
      <w:r>
        <w:rPr>
          <w:rFonts w:hint="eastAsia" w:ascii="Times New Roman" w:hAnsi="Times New Roman" w:eastAsia="楷体_GB2312" w:cs="仿宋_GB2312"/>
          <w:color w:val="000000"/>
          <w:kern w:val="0"/>
          <w:sz w:val="32"/>
          <w:szCs w:val="32"/>
        </w:rPr>
        <w:t>（六）关于预算</w:t>
      </w:r>
      <w:r>
        <w:rPr>
          <w:rFonts w:hint="eastAsia" w:ascii="Times New Roman" w:hAnsi="Times New Roman" w:eastAsia="楷体_GB2312" w:cs="仿宋_GB2312"/>
          <w:color w:val="000000"/>
          <w:kern w:val="0"/>
          <w:sz w:val="32"/>
          <w:szCs w:val="32"/>
          <w:lang w:eastAsia="zh-CN"/>
        </w:rPr>
        <w:t>单位</w:t>
      </w:r>
      <w:r>
        <w:rPr>
          <w:rFonts w:hint="eastAsia" w:ascii="Times New Roman" w:hAnsi="Times New Roman" w:eastAsia="楷体_GB2312" w:cs="仿宋_GB2312"/>
          <w:color w:val="000000"/>
          <w:kern w:val="0"/>
          <w:sz w:val="32"/>
          <w:szCs w:val="32"/>
        </w:rPr>
        <w:t>构成说明</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b/>
          <w:color w:val="000000"/>
          <w:kern w:val="0"/>
          <w:sz w:val="32"/>
          <w:szCs w:val="32"/>
        </w:rPr>
      </w:pPr>
      <w:r>
        <w:rPr>
          <w:rFonts w:hint="eastAsia" w:ascii="Times New Roman" w:hAnsi="Times New Roman" w:eastAsia="仿宋_GB2312" w:cs="仿宋_GB2312"/>
          <w:color w:val="000000"/>
          <w:sz w:val="32"/>
          <w:szCs w:val="32"/>
        </w:rPr>
        <w:t>2022年我单位按照</w:t>
      </w:r>
      <w:r>
        <w:rPr>
          <w:rFonts w:hint="eastAsia" w:ascii="Times New Roman" w:hAnsi="Times New Roman" w:eastAsia="仿宋_GB2312" w:cs="仿宋_GB2312"/>
          <w:color w:val="000000"/>
          <w:sz w:val="32"/>
          <w:szCs w:val="32"/>
          <w:lang w:val="en-US" w:eastAsia="zh-CN"/>
        </w:rPr>
        <w:t>县</w:t>
      </w:r>
      <w:r>
        <w:rPr>
          <w:rFonts w:hint="eastAsia" w:ascii="Times New Roman" w:hAnsi="Times New Roman" w:eastAsia="仿宋_GB2312" w:cs="仿宋_GB2312"/>
          <w:color w:val="000000"/>
          <w:sz w:val="32"/>
          <w:szCs w:val="32"/>
        </w:rPr>
        <w:t>财政预算公开要求，将所属预算单位全部纳入预算公开范围。</w:t>
      </w:r>
    </w:p>
    <w:p>
      <w:pPr>
        <w:overflowPunct w:val="0"/>
        <w:autoSpaceDE w:val="0"/>
        <w:autoSpaceDN w:val="0"/>
        <w:adjustRightInd w:val="0"/>
        <w:snapToGrid w:val="0"/>
        <w:spacing w:line="574" w:lineRule="exact"/>
        <w:jc w:val="center"/>
        <w:rPr>
          <w:rFonts w:ascii="Times New Roman" w:hAnsi="Times New Roman" w:eastAsia="黑体"/>
          <w:bCs/>
          <w:color w:val="000000"/>
          <w:sz w:val="36"/>
          <w:szCs w:val="36"/>
        </w:rPr>
      </w:pPr>
    </w:p>
    <w:p>
      <w:pPr>
        <w:overflowPunct w:val="0"/>
        <w:autoSpaceDE w:val="0"/>
        <w:autoSpaceDN w:val="0"/>
        <w:adjustRightInd w:val="0"/>
        <w:snapToGrid w:val="0"/>
        <w:spacing w:line="574" w:lineRule="exact"/>
        <w:jc w:val="center"/>
        <w:rPr>
          <w:rFonts w:hint="eastAsia" w:ascii="Times New Roman" w:hAnsi="Times New Roman" w:eastAsia="黑体"/>
          <w:bCs/>
          <w:color w:val="000000"/>
          <w:sz w:val="36"/>
          <w:szCs w:val="36"/>
        </w:rPr>
      </w:pPr>
    </w:p>
    <w:p>
      <w:pPr>
        <w:overflowPunct w:val="0"/>
        <w:autoSpaceDE w:val="0"/>
        <w:autoSpaceDN w:val="0"/>
        <w:adjustRightInd w:val="0"/>
        <w:snapToGrid w:val="0"/>
        <w:spacing w:line="574" w:lineRule="exact"/>
        <w:jc w:val="center"/>
        <w:rPr>
          <w:rFonts w:ascii="Times New Roman" w:hAnsi="Times New Roman" w:eastAsia="黑体"/>
          <w:bCs/>
          <w:color w:val="000000"/>
          <w:sz w:val="36"/>
          <w:szCs w:val="36"/>
        </w:rPr>
      </w:pPr>
      <w:r>
        <w:rPr>
          <w:rFonts w:hint="eastAsia" w:ascii="Times New Roman" w:hAnsi="Times New Roman" w:eastAsia="黑体"/>
          <w:bCs/>
          <w:color w:val="000000"/>
          <w:sz w:val="36"/>
          <w:szCs w:val="36"/>
        </w:rPr>
        <w:t>第三部分  名词解释</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一、财政拨款收入：是指</w:t>
      </w:r>
      <w:r>
        <w:rPr>
          <w:rFonts w:hint="eastAsia" w:ascii="Times New Roman" w:hAnsi="Times New Roman" w:eastAsia="仿宋_GB2312" w:cs="仿宋_GB2312"/>
          <w:color w:val="000000"/>
          <w:sz w:val="32"/>
          <w:szCs w:val="32"/>
          <w:lang w:val="en-US" w:eastAsia="zh-CN"/>
        </w:rPr>
        <w:t>县</w:t>
      </w:r>
      <w:r>
        <w:rPr>
          <w:rFonts w:hint="eastAsia" w:ascii="Times New Roman" w:hAnsi="Times New Roman" w:eastAsia="仿宋_GB2312" w:cs="仿宋_GB2312"/>
          <w:color w:val="000000"/>
          <w:sz w:val="32"/>
          <w:szCs w:val="32"/>
        </w:rPr>
        <w:t>级财政当年拨付的资金。</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二、事业收入：是指事业单位开展专业活动及辅助活动所取 得的收入。</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三、其他收入：是指</w:t>
      </w:r>
      <w:r>
        <w:rPr>
          <w:rFonts w:hint="eastAsia" w:ascii="Times New Roman" w:hAnsi="Times New Roman" w:eastAsia="仿宋_GB2312" w:cs="仿宋_GB2312"/>
          <w:color w:val="000000"/>
          <w:sz w:val="32"/>
          <w:szCs w:val="32"/>
          <w:lang w:eastAsia="zh-CN"/>
        </w:rPr>
        <w:t>单位</w:t>
      </w:r>
      <w:r>
        <w:rPr>
          <w:rFonts w:hint="eastAsia" w:ascii="Times New Roman" w:hAnsi="Times New Roman" w:eastAsia="仿宋_GB2312" w:cs="仿宋_GB2312"/>
          <w:color w:val="000000"/>
          <w:sz w:val="32"/>
          <w:szCs w:val="32"/>
        </w:rPr>
        <w:t xml:space="preserve">取得的除“财政拨款”、“事业收入”、“事业单位经营收入”等以外的收入。 </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四、基本支出：是指为保障机构正常运转、完成日常工作任务所必需的开支，其内容包括人员经费和日常公用经费两部分。</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五、项目支出：是指在基本支出之外，为完成特定的行政工作任务或事业发展目标所发生的支出。</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六、“三公”经费：是指纳入</w:t>
      </w:r>
      <w:r>
        <w:rPr>
          <w:rFonts w:hint="eastAsia" w:ascii="Times New Roman" w:hAnsi="Times New Roman" w:eastAsia="仿宋_GB2312" w:cs="仿宋_GB2312"/>
          <w:color w:val="000000"/>
          <w:sz w:val="32"/>
          <w:szCs w:val="32"/>
          <w:lang w:val="en-US" w:eastAsia="zh-CN"/>
        </w:rPr>
        <w:t>县</w:t>
      </w:r>
      <w:r>
        <w:rPr>
          <w:rFonts w:hint="eastAsia" w:ascii="Times New Roman" w:hAnsi="Times New Roman" w:eastAsia="仿宋_GB2312" w:cs="仿宋_GB2312"/>
          <w:color w:val="000000"/>
          <w:sz w:val="32"/>
          <w:szCs w:val="32"/>
        </w:rPr>
        <w:t>级财政预算管理，</w:t>
      </w:r>
      <w:r>
        <w:rPr>
          <w:rFonts w:hint="eastAsia" w:ascii="Times New Roman" w:hAnsi="Times New Roman" w:eastAsia="仿宋_GB2312" w:cs="仿宋_GB2312"/>
          <w:color w:val="000000"/>
          <w:sz w:val="32"/>
          <w:szCs w:val="32"/>
          <w:lang w:eastAsia="zh-CN"/>
        </w:rPr>
        <w:t>单位</w:t>
      </w:r>
      <w:r>
        <w:rPr>
          <w:rFonts w:hint="eastAsia" w:ascii="Times New Roman" w:hAnsi="Times New Roman" w:eastAsia="仿宋_GB2312" w:cs="仿宋_GB2312"/>
          <w:color w:val="000000"/>
          <w:sz w:val="32"/>
          <w:szCs w:val="32"/>
        </w:rPr>
        <w:t>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overflowPunct w:val="0"/>
        <w:autoSpaceDE w:val="0"/>
        <w:autoSpaceDN w:val="0"/>
        <w:adjustRightInd w:val="0"/>
        <w:snapToGrid w:val="0"/>
        <w:spacing w:line="574"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Courier New"/>
          <w:color w:val="000000"/>
          <w:sz w:val="32"/>
          <w:szCs w:val="32"/>
        </w:rPr>
        <w:t>七、行政（事业）单位机构运行经费：是指为保障行政（事业）单位</w:t>
      </w:r>
      <w:r>
        <w:rPr>
          <w:rFonts w:hint="eastAsia" w:ascii="Times New Roman" w:hAnsi="Times New Roman" w:eastAsia="仿宋_GB2312" w:cs="仿宋_GB2312"/>
          <w:color w:val="000000"/>
          <w:sz w:val="32"/>
          <w:szCs w:val="32"/>
        </w:rPr>
        <w:t>机构正常运转及正常履职需要的办公费、水电费、日常维修、物业费、维修费、差旅费、</w:t>
      </w:r>
      <w:r>
        <w:rPr>
          <w:rFonts w:hint="eastAsia" w:ascii="Times New Roman" w:hAnsi="Times New Roman" w:eastAsia="仿宋_GB2312" w:cs="Courier New"/>
          <w:color w:val="000000"/>
          <w:sz w:val="32"/>
          <w:szCs w:val="32"/>
        </w:rPr>
        <w:t>公务用车运行维护费以及其他费用</w:t>
      </w:r>
      <w:r>
        <w:rPr>
          <w:rFonts w:hint="eastAsia" w:ascii="Times New Roman" w:hAnsi="Times New Roman" w:eastAsia="仿宋_GB2312" w:cs="仿宋_GB2312"/>
          <w:color w:val="000000"/>
          <w:sz w:val="32"/>
          <w:szCs w:val="32"/>
        </w:rPr>
        <w:t>等支出。</w:t>
      </w:r>
    </w:p>
    <w:p>
      <w:pPr>
        <w:overflowPunct w:val="0"/>
        <w:autoSpaceDE w:val="0"/>
        <w:autoSpaceDN w:val="0"/>
        <w:adjustRightInd w:val="0"/>
        <w:snapToGrid w:val="0"/>
        <w:spacing w:line="574" w:lineRule="exact"/>
        <w:ind w:firstLine="640" w:firstLineChars="200"/>
        <w:rPr>
          <w:rFonts w:hint="eastAsia" w:ascii="仿宋_GB2312" w:hAnsi="仿宋_GB2312" w:eastAsia="仿宋_GB2312" w:cs="仿宋_GB2312"/>
          <w:color w:val="000000"/>
          <w:sz w:val="32"/>
          <w:szCs w:val="32"/>
        </w:rPr>
      </w:pPr>
      <w:r>
        <w:rPr>
          <w:rFonts w:hint="eastAsia" w:ascii="Times New Roman" w:hAnsi="Times New Roman" w:eastAsia="仿宋_GB2312" w:cs="仿宋_GB2312"/>
          <w:color w:val="000000"/>
          <w:sz w:val="32"/>
          <w:szCs w:val="32"/>
        </w:rPr>
        <w:t>八、</w:t>
      </w:r>
      <w:r>
        <w:rPr>
          <w:rFonts w:hint="eastAsia" w:ascii="仿宋_GB2312" w:hAnsi="仿宋_GB2312" w:eastAsia="仿宋_GB2312" w:cs="仿宋_GB2312"/>
          <w:color w:val="000000"/>
          <w:sz w:val="32"/>
          <w:szCs w:val="32"/>
        </w:rPr>
        <w:t>城区绿化管护费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是对县城区绿地、道路绿化等进行日常管护、养护，主要包括绿化苗木浇水、修剪、树木涂白、病虫害防治、补栽苗木（含行道树）费、管护人员工资及服装费、车辆工具燃油及维修费。</w:t>
      </w:r>
    </w:p>
    <w:p>
      <w:pPr>
        <w:overflowPunct w:val="0"/>
        <w:autoSpaceDE w:val="0"/>
        <w:autoSpaceDN w:val="0"/>
        <w:adjustRightInd w:val="0"/>
        <w:snapToGrid w:val="0"/>
        <w:spacing w:line="574" w:lineRule="exact"/>
        <w:ind w:firstLine="640" w:firstLineChars="200"/>
        <w:rPr>
          <w:rFonts w:hint="eastAsia" w:ascii="仿宋_GB2312" w:hAnsi="仿宋_GB2312" w:eastAsia="仿宋_GB2312" w:cs="仿宋_GB2312"/>
          <w:color w:val="000000"/>
          <w:sz w:val="32"/>
          <w:szCs w:val="32"/>
        </w:rPr>
      </w:pPr>
    </w:p>
    <w:p>
      <w:pPr>
        <w:overflowPunct w:val="0"/>
        <w:autoSpaceDE w:val="0"/>
        <w:autoSpaceDN w:val="0"/>
        <w:adjustRightInd w:val="0"/>
        <w:snapToGrid w:val="0"/>
        <w:spacing w:line="574" w:lineRule="exact"/>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附件：博爱县园林绿化中心2022年度</w:t>
      </w:r>
      <w:r>
        <w:rPr>
          <w:rFonts w:hint="eastAsia" w:ascii="Times New Roman" w:hAnsi="Times New Roman" w:eastAsia="仿宋_GB2312" w:cs="仿宋_GB2312"/>
          <w:color w:val="000000"/>
          <w:sz w:val="32"/>
          <w:szCs w:val="32"/>
          <w:lang w:eastAsia="zh-CN"/>
        </w:rPr>
        <w:t>单位</w:t>
      </w:r>
      <w:r>
        <w:rPr>
          <w:rFonts w:hint="eastAsia" w:ascii="Times New Roman" w:hAnsi="Times New Roman" w:eastAsia="仿宋_GB2312" w:cs="仿宋_GB2312"/>
          <w:color w:val="000000"/>
          <w:sz w:val="32"/>
          <w:szCs w:val="32"/>
        </w:rPr>
        <w:t>预算表</w:t>
      </w:r>
    </w:p>
    <w:p>
      <w:pPr>
        <w:overflowPunct w:val="0"/>
        <w:autoSpaceDE w:val="0"/>
        <w:autoSpaceDN w:val="0"/>
        <w:adjustRightInd w:val="0"/>
        <w:snapToGrid w:val="0"/>
        <w:spacing w:line="574" w:lineRule="exact"/>
        <w:ind w:firstLine="640" w:firstLineChars="200"/>
        <w:rPr>
          <w:rFonts w:ascii="Times New Roman" w:hAnsi="Times New Roman" w:eastAsia="仿宋_GB2312" w:cs="Courier New"/>
          <w:color w:val="000000"/>
          <w:sz w:val="32"/>
          <w:szCs w:val="32"/>
        </w:rPr>
      </w:pPr>
    </w:p>
    <w:p>
      <w:pPr>
        <w:overflowPunct w:val="0"/>
        <w:autoSpaceDE w:val="0"/>
        <w:autoSpaceDN w:val="0"/>
        <w:adjustRightInd w:val="0"/>
        <w:snapToGrid w:val="0"/>
        <w:spacing w:line="574" w:lineRule="exact"/>
        <w:ind w:firstLine="640" w:firstLineChars="200"/>
        <w:rPr>
          <w:rFonts w:ascii="Times New Roman" w:hAnsi="Times New Roman" w:eastAsia="仿宋_GB2312" w:cs="Courier New"/>
          <w:color w:val="000000"/>
          <w:sz w:val="32"/>
          <w:szCs w:val="32"/>
        </w:rPr>
      </w:pPr>
    </w:p>
    <w:p>
      <w:pPr>
        <w:overflowPunct w:val="0"/>
        <w:autoSpaceDE w:val="0"/>
        <w:autoSpaceDN w:val="0"/>
        <w:adjustRightInd w:val="0"/>
        <w:snapToGrid w:val="0"/>
        <w:spacing w:line="574" w:lineRule="exact"/>
        <w:rPr>
          <w:rFonts w:ascii="Times New Roman" w:hAnsi="Times New Roman" w:eastAsia="仿宋_GB2312" w:cs="Courier New"/>
          <w:color w:val="000000"/>
          <w:sz w:val="32"/>
          <w:szCs w:val="32"/>
        </w:rPr>
      </w:pPr>
    </w:p>
    <w:p>
      <w:pPr>
        <w:overflowPunct w:val="0"/>
        <w:autoSpaceDE w:val="0"/>
        <w:autoSpaceDN w:val="0"/>
        <w:adjustRightInd w:val="0"/>
        <w:snapToGrid w:val="0"/>
        <w:spacing w:line="574" w:lineRule="exact"/>
        <w:ind w:firstLine="640" w:firstLineChars="200"/>
        <w:jc w:val="center"/>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2022年6月1日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F2DAA"/>
    <w:multiLevelType w:val="singleLevel"/>
    <w:tmpl w:val="5A4F2DAA"/>
    <w:lvl w:ilvl="0" w:tentative="0">
      <w:start w:val="1"/>
      <w:numFmt w:val="chineseCounting"/>
      <w:suff w:val="nothing"/>
      <w:lvlText w:val="（%1）"/>
      <w:lvlJc w:val="left"/>
    </w:lvl>
  </w:abstractNum>
  <w:abstractNum w:abstractNumId="1">
    <w:nsid w:val="5A796DEC"/>
    <w:multiLevelType w:val="singleLevel"/>
    <w:tmpl w:val="5A796DE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M2QwMmZhNGZmZTQ4OGFmNThhY2ZjM2U2OWExYjEifQ=="/>
  </w:docVars>
  <w:rsids>
    <w:rsidRoot w:val="75B3168C"/>
    <w:rsid w:val="001249EB"/>
    <w:rsid w:val="00273B5B"/>
    <w:rsid w:val="002F0095"/>
    <w:rsid w:val="0042734E"/>
    <w:rsid w:val="00501545"/>
    <w:rsid w:val="00666312"/>
    <w:rsid w:val="007E41C0"/>
    <w:rsid w:val="0083465C"/>
    <w:rsid w:val="00A47EE8"/>
    <w:rsid w:val="00DA57C3"/>
    <w:rsid w:val="00DA6410"/>
    <w:rsid w:val="04B57B90"/>
    <w:rsid w:val="05B178CA"/>
    <w:rsid w:val="06217C4D"/>
    <w:rsid w:val="06845923"/>
    <w:rsid w:val="06B356AD"/>
    <w:rsid w:val="07256651"/>
    <w:rsid w:val="074408E1"/>
    <w:rsid w:val="07FB43F1"/>
    <w:rsid w:val="086C1376"/>
    <w:rsid w:val="09524F20"/>
    <w:rsid w:val="0CBE467B"/>
    <w:rsid w:val="1396576B"/>
    <w:rsid w:val="15A0573A"/>
    <w:rsid w:val="19A341CD"/>
    <w:rsid w:val="1A403C7F"/>
    <w:rsid w:val="1A492FFE"/>
    <w:rsid w:val="1BF14FC4"/>
    <w:rsid w:val="1CCE090A"/>
    <w:rsid w:val="1D3047FE"/>
    <w:rsid w:val="1E9D3CD2"/>
    <w:rsid w:val="20457EAB"/>
    <w:rsid w:val="22EE6F1F"/>
    <w:rsid w:val="23675058"/>
    <w:rsid w:val="23D54EB0"/>
    <w:rsid w:val="23F2473C"/>
    <w:rsid w:val="243453F2"/>
    <w:rsid w:val="253C6524"/>
    <w:rsid w:val="25650D43"/>
    <w:rsid w:val="26F72890"/>
    <w:rsid w:val="2D0163BA"/>
    <w:rsid w:val="2D8E4F3A"/>
    <w:rsid w:val="31586BFE"/>
    <w:rsid w:val="337E1EFE"/>
    <w:rsid w:val="35BE6016"/>
    <w:rsid w:val="35E84C86"/>
    <w:rsid w:val="36992A33"/>
    <w:rsid w:val="38657F1D"/>
    <w:rsid w:val="3EC05EAD"/>
    <w:rsid w:val="42AE2B30"/>
    <w:rsid w:val="43E9039C"/>
    <w:rsid w:val="459A38EA"/>
    <w:rsid w:val="484B3409"/>
    <w:rsid w:val="4B7E6D93"/>
    <w:rsid w:val="4B984A35"/>
    <w:rsid w:val="548538BF"/>
    <w:rsid w:val="54E7618B"/>
    <w:rsid w:val="563034C0"/>
    <w:rsid w:val="58365DC0"/>
    <w:rsid w:val="58B72532"/>
    <w:rsid w:val="591C01AB"/>
    <w:rsid w:val="5ABD5530"/>
    <w:rsid w:val="5B461903"/>
    <w:rsid w:val="5D8F31C2"/>
    <w:rsid w:val="5FD60138"/>
    <w:rsid w:val="60E9469A"/>
    <w:rsid w:val="61793C5B"/>
    <w:rsid w:val="64A8374D"/>
    <w:rsid w:val="66D9725C"/>
    <w:rsid w:val="67985076"/>
    <w:rsid w:val="67DD4B2A"/>
    <w:rsid w:val="6828555A"/>
    <w:rsid w:val="6846757A"/>
    <w:rsid w:val="686A34F6"/>
    <w:rsid w:val="6CAB714B"/>
    <w:rsid w:val="6CDB079A"/>
    <w:rsid w:val="6D6F4508"/>
    <w:rsid w:val="6F01565D"/>
    <w:rsid w:val="704E66A2"/>
    <w:rsid w:val="75B3168C"/>
    <w:rsid w:val="78AA11AC"/>
    <w:rsid w:val="78DC51AE"/>
    <w:rsid w:val="79022978"/>
    <w:rsid w:val="79314CD6"/>
    <w:rsid w:val="7C6D009A"/>
    <w:rsid w:val="7C8F3E32"/>
    <w:rsid w:val="7C9255DB"/>
    <w:rsid w:val="7DFD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3139</Words>
  <Characters>3493</Characters>
  <Lines>3</Lines>
  <Paragraphs>7</Paragraphs>
  <TotalTime>4</TotalTime>
  <ScaleCrop>false</ScaleCrop>
  <LinksUpToDate>false</LinksUpToDate>
  <CharactersWithSpaces>3537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2022-05-16T00:32:00Z</dcterms:created>
  <dc:creator>Administrator</dc:creator>
  <cp:lastModifiedBy>Administrator</cp:lastModifiedBy>
  <dcterms:modified xsi:type="dcterms:W3CDTF">2023-05-16T08:32:43Z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823773E679134F3DAD8F1BDDAFAD7F66</vt:lpwstr>
  </property>
</Properties>
</file>